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Jakarta's</w:t>
      </w:r>
      <w:r>
        <w:t xml:space="preserve"> </w:t>
      </w:r>
      <w:r>
        <w:t xml:space="preserve">Dynamic</w:t>
      </w:r>
      <w:r>
        <w:t xml:space="preserve"> </w:t>
      </w:r>
      <w:r>
        <w:t xml:space="preserve">Financial</w:t>
      </w:r>
      <w:r>
        <w:t xml:space="preserve"> </w:t>
      </w:r>
      <w:r>
        <w:t xml:space="preserve">Ecosystem</w:t>
      </w:r>
    </w:p>
    <w:bookmarkStart w:id="35" w:name="Xae440a1e73cde507c11dd99230ef03c36f70cb1"/>
    <w:p>
      <w:pPr>
        <w:pStyle w:val="Heading1"/>
      </w:pPr>
      <w:r>
        <w:t xml:space="preserve">Thesis Proposal: The Evolving Role of Financial Analysts in Jakarta's Dynamic Financial Ecosystem</w:t>
      </w:r>
    </w:p>
    <w:bookmarkStart w:id="20" w:name="introduction-and-background"/>
    <w:p>
      <w:pPr>
        <w:pStyle w:val="Heading2"/>
      </w:pPr>
      <w:r>
        <w:t xml:space="preserve">1. Introduction and Background</w:t>
      </w:r>
    </w:p>
    <w:p>
      <w:pPr>
        <w:pStyle w:val="FirstParagraph"/>
      </w:pPr>
      <w:r>
        <w:t xml:space="preserve">The financial services sector in Indonesia Jakarta serves as the economic engine of Southeast Asia's largest economy, with the Jakarta Stock Exchange (IDX) handling over $500 billion in market capitalization and attracting significant foreign investment. As Indonesia accelerates its digital transformation through initiatives like "Making Indonesia 4.0" and expands its fintech ecosystem, the demand for skilled</w:t>
      </w:r>
      <w:r>
        <w:t xml:space="preserve"> </w:t>
      </w:r>
      <w:r>
        <w:rPr>
          <w:iCs/>
          <w:i/>
        </w:rPr>
        <w:t xml:space="preserve">Financial Analyst</w:t>
      </w:r>
      <w:r>
        <w:t xml:space="preserve">s has surged exponentially. However, a critical gap exists between industry expectations and the current competency profile of local analysts, particularly in navigating Jakarta's unique market complexities—ranging from volatile commodity prices to rapidly evolving regulatory frameworks under OJK (Otoritas Jasa Keuangan). This</w:t>
      </w:r>
      <w:r>
        <w:t xml:space="preserve"> </w:t>
      </w:r>
      <w:r>
        <w:rPr>
          <w:iCs/>
          <w:i/>
        </w:rPr>
        <w:t xml:space="preserve">Thesis Proposal</w:t>
      </w:r>
      <w:r>
        <w:t xml:space="preserve"> </w:t>
      </w:r>
      <w:r>
        <w:t xml:space="preserve">addresses this void by investigating how</w:t>
      </w:r>
      <w:r>
        <w:t xml:space="preserve"> </w:t>
      </w:r>
      <w:r>
        <w:rPr>
          <w:iCs/>
          <w:i/>
        </w:rPr>
        <w:t xml:space="preserve">Financial Analyst</w:t>
      </w:r>
      <w:r>
        <w:t xml:space="preserve">s in</w:t>
      </w:r>
      <w:r>
        <w:t xml:space="preserve"> </w:t>
      </w:r>
      <w:r>
        <w:rPr>
          <w:iCs/>
          <w:i/>
        </w:rPr>
        <w:t xml:space="preserve">Indonesia Jakarta</w:t>
      </w:r>
      <w:r>
        <w:t xml:space="preserve"> </w:t>
      </w:r>
      <w:r>
        <w:t xml:space="preserve">can enhance strategic decision-making through advanced analytical frameworks tailored to the region's distinct economic landscape.</w:t>
      </w:r>
    </w:p>
    <w:bookmarkEnd w:id="20"/>
    <w:bookmarkStart w:id="21" w:name="problem-statement"/>
    <w:p>
      <w:pPr>
        <w:pStyle w:val="Heading2"/>
      </w:pPr>
      <w:r>
        <w:t xml:space="preserve">2. Problem Statement</w:t>
      </w:r>
    </w:p>
    <w:p>
      <w:pPr>
        <w:pStyle w:val="FirstParagraph"/>
      </w:pPr>
      <w:r>
        <w:t xml:space="preserve">Jakarta's financial market faces three interconnected challenges that directly impact</w:t>
      </w:r>
      <w:r>
        <w:t xml:space="preserve"> </w:t>
      </w:r>
      <w:r>
        <w:rPr>
          <w:iCs/>
          <w:i/>
        </w:rPr>
        <w:t xml:space="preserve">Financial Analyst</w:t>
      </w:r>
      <w:r>
        <w:t xml:space="preserve"> </w:t>
      </w:r>
      <w:r>
        <w:t xml:space="preserve">effectiveness:</w:t>
      </w:r>
    </w:p>
    <w:p>
      <w:pPr>
        <w:numPr>
          <w:ilvl w:val="0"/>
          <w:numId w:val="1001"/>
        </w:numPr>
        <w:pStyle w:val="Compact"/>
      </w:pPr>
      <w:r>
        <w:rPr>
          <w:bCs/>
          <w:b/>
        </w:rPr>
        <w:t xml:space="preserve">Mismatched Skillsets:</w:t>
      </w:r>
      <w:r>
        <w:t xml:space="preserve"> </w:t>
      </w:r>
      <w:r>
        <w:t xml:space="preserve">73% of Indonesian financial firms report analysts lack advanced data science skills (Bank Indonesia, 2023), hindering predictive modeling for Jakarta's volatile commodity-driven markets.</w:t>
      </w:r>
    </w:p>
    <w:p>
      <w:pPr>
        <w:numPr>
          <w:ilvl w:val="0"/>
          <w:numId w:val="1001"/>
        </w:numPr>
        <w:pStyle w:val="Compact"/>
      </w:pPr>
      <w:r>
        <w:rPr>
          <w:bCs/>
          <w:b/>
        </w:rPr>
        <w:t xml:space="preserve">Regulatory Complexity:</w:t>
      </w:r>
      <w:r>
        <w:t xml:space="preserve"> </w:t>
      </w:r>
      <w:r>
        <w:t xml:space="preserve">OJK's evolving regulations on ESG disclosures and digital assets create uncertainty that traditional analysis models fail to address.</w:t>
      </w:r>
    </w:p>
    <w:p>
      <w:pPr>
        <w:numPr>
          <w:ilvl w:val="0"/>
          <w:numId w:val="1001"/>
        </w:numPr>
        <w:pStyle w:val="Compact"/>
      </w:pPr>
      <w:r>
        <w:rPr>
          <w:bCs/>
          <w:b/>
        </w:rPr>
        <w:t xml:space="preserve">Market Volatility:</w:t>
      </w:r>
      <w:r>
        <w:t xml:space="preserve"> </w:t>
      </w:r>
      <w:r>
        <w:t xml:space="preserve">Jakarta-based analysts struggle to interpret how geopolitical events (e.g., Indonesia's energy transition policies) impact sector-specific valuations.</w:t>
      </w:r>
    </w:p>
    <w:p>
      <w:pPr>
        <w:pStyle w:val="FirstParagraph"/>
      </w:pPr>
      <w:r>
        <w:t xml:space="preserve">This research will determine how to future-proof the</w:t>
      </w:r>
      <w:r>
        <w:t xml:space="preserve"> </w:t>
      </w:r>
      <w:r>
        <w:rPr>
          <w:iCs/>
          <w:i/>
        </w:rPr>
        <w:t xml:space="preserve">Financial Analyst</w:t>
      </w:r>
      <w:r>
        <w:t xml:space="preserve">'s role in</w:t>
      </w:r>
      <w:r>
        <w:t xml:space="preserve"> </w:t>
      </w:r>
      <w:r>
        <w:rPr>
          <w:iCs/>
          <w:i/>
        </w:rPr>
        <w:t xml:space="preserve">Indonesia Jakarta</w:t>
      </w:r>
      <w:r>
        <w:t xml:space="preserve">'s context through targeted competency development and technology integration.</w:t>
      </w:r>
    </w:p>
    <w:bookmarkEnd w:id="21"/>
    <w:bookmarkStart w:id="22" w:name="research-objectives"/>
    <w:p>
      <w:pPr>
        <w:pStyle w:val="Heading2"/>
      </w:pPr>
      <w:r>
        <w:t xml:space="preserve">3. Research Objectives</w:t>
      </w:r>
    </w:p>
    <w:p>
      <w:pPr>
        <w:numPr>
          <w:ilvl w:val="0"/>
          <w:numId w:val="1002"/>
        </w:numPr>
        <w:pStyle w:val="Compact"/>
      </w:pPr>
      <w:r>
        <w:t xml:space="preserve">To map the current analytical competencies of Financial Analysts operating within Jakarta-based financial institutions.</w:t>
      </w:r>
    </w:p>
    <w:p>
      <w:pPr>
        <w:numPr>
          <w:ilvl w:val="0"/>
          <w:numId w:val="1002"/>
        </w:numPr>
        <w:pStyle w:val="Compact"/>
      </w:pPr>
      <w:r>
        <w:t xml:space="preserve">To identify critical gaps between industry needs and educational curricula for Financial Analysts in Indonesia Jakarta.</w:t>
      </w:r>
    </w:p>
    <w:p>
      <w:pPr>
        <w:numPr>
          <w:ilvl w:val="0"/>
          <w:numId w:val="1002"/>
        </w:numPr>
        <w:pStyle w:val="Compact"/>
      </w:pPr>
      <w:r>
        <w:t xml:space="preserve">To develop a contextualized framework for enhancing Financial Analyst capabilities using AI-driven tools aligned with Indonesia's regulatory environment (OJK regulations, BI monetary policy).</w:t>
      </w:r>
    </w:p>
    <w:p>
      <w:pPr>
        <w:numPr>
          <w:ilvl w:val="0"/>
          <w:numId w:val="1002"/>
        </w:numPr>
        <w:pStyle w:val="Compact"/>
      </w:pPr>
      <w:r>
        <w:t xml:space="preserve">To assess how enhanced analytical capabilities impact investment decision quality within Jakarta's financial ecosystem.</w:t>
      </w:r>
    </w:p>
    <w:bookmarkEnd w:id="22"/>
    <w:bookmarkStart w:id="23" w:name="literature-review-key-focus-areas"/>
    <w:p>
      <w:pPr>
        <w:pStyle w:val="Heading2"/>
      </w:pPr>
      <w:r>
        <w:t xml:space="preserve">4. Literature Review (Key Focus Areas)</w:t>
      </w:r>
    </w:p>
    <w:p>
      <w:pPr>
        <w:pStyle w:val="FirstParagraph"/>
      </w:pPr>
      <w:r>
        <w:t xml:space="preserve">Existing literature predominantly focuses on Western or Singaporean contexts, neglecting Southeast Asia's unique market structures. Studies by Suryana &amp; Kusnandar (2021) highlight Jakarta's "commodity-centric valuation challenges" but lack actionable frameworks. Recent OJK reports (2023) emphasize data literacy as a strategic priority but provide no implementation roadmap for</w:t>
      </w:r>
      <w:r>
        <w:t xml:space="preserve"> </w:t>
      </w:r>
      <w:r>
        <w:rPr>
          <w:iCs/>
          <w:i/>
        </w:rPr>
        <w:t xml:space="preserve">Financial Analyst</w:t>
      </w:r>
      <w:r>
        <w:t xml:space="preserve">s. This research bridges these gaps by integrating:</w:t>
      </w:r>
    </w:p>
    <w:p>
      <w:pPr>
        <w:numPr>
          <w:ilvl w:val="0"/>
          <w:numId w:val="1003"/>
        </w:numPr>
        <w:pStyle w:val="Compact"/>
      </w:pPr>
      <w:r>
        <w:rPr>
          <w:bCs/>
          <w:b/>
        </w:rPr>
        <w:t xml:space="preserve">Indonesian Market Specificity:</w:t>
      </w:r>
      <w:r>
        <w:t xml:space="preserve"> </w:t>
      </w:r>
      <w:r>
        <w:t xml:space="preserve">How palm oil price volatility (a $30B export sector) affects equity analysis in Jakarta's corporate landscape.</w:t>
      </w:r>
    </w:p>
    <w:p>
      <w:pPr>
        <w:numPr>
          <w:ilvl w:val="0"/>
          <w:numId w:val="1003"/>
        </w:numPr>
        <w:pStyle w:val="Compact"/>
      </w:pPr>
      <w:r>
        <w:rPr>
          <w:bCs/>
          <w:b/>
        </w:rPr>
        <w:t xml:space="preserve">Tech Adaptation:</w:t>
      </w:r>
      <w:r>
        <w:t xml:space="preserve"> </w:t>
      </w:r>
      <w:r>
        <w:t xml:space="preserve">Case studies of Jakarta fintechs like Kredivo using AI for credit risk modeling, and their implications for traditional analysis.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quantitative-analysis-months-1-3"/>
    <w:p>
      <w:pPr>
        <w:pStyle w:val="Heading3"/>
      </w:pPr>
      <w:r>
        <w:t xml:space="preserve">Phase 1: Quantitative Analysis (Months 1-3)</w:t>
      </w:r>
    </w:p>
    <w:p>
      <w:pPr>
        <w:pStyle w:val="FirstParagraph"/>
      </w:pPr>
      <w:r>
        <w:t xml:space="preserve">Survey of 150 Financial Analysts across Jakarta-based institutions (banks, asset managers, fintechs) using Likert-scale questionnaires assessing:</w:t>
      </w:r>
    </w:p>
    <w:p>
      <w:pPr>
        <w:numPr>
          <w:ilvl w:val="0"/>
          <w:numId w:val="1004"/>
        </w:numPr>
        <w:pStyle w:val="Compact"/>
      </w:pPr>
      <w:r>
        <w:t xml:space="preserve">Current analytical tool proficiency (Python, Power BI, Bloomberg Terminal)</w:t>
      </w:r>
    </w:p>
    <w:p>
      <w:pPr>
        <w:numPr>
          <w:ilvl w:val="0"/>
          <w:numId w:val="1004"/>
        </w:numPr>
        <w:pStyle w:val="Compact"/>
      </w:pPr>
      <w:r>
        <w:t xml:space="preserve">Confidence in interpreting OJK regulations</w:t>
      </w:r>
    </w:p>
    <w:p>
      <w:pPr>
        <w:numPr>
          <w:ilvl w:val="0"/>
          <w:numId w:val="1004"/>
        </w:numPr>
        <w:pStyle w:val="Compact"/>
      </w:pPr>
      <w:r>
        <w:t xml:space="preserve">Perceived impact of Indonesia-specific variables (e.g., rupiah volatility, commodity prices) on model accuracy</w:t>
      </w:r>
    </w:p>
    <w:bookmarkEnd w:id="24"/>
    <w:bookmarkStart w:id="25" w:name="Xc84d57335e8cfa61700e59d3fc4fd145efacaab"/>
    <w:p>
      <w:pPr>
        <w:pStyle w:val="Heading3"/>
      </w:pPr>
      <w:r>
        <w:t xml:space="preserve">Phase 2: Qualitative Deep Dives (Months 4-6)</w:t>
      </w:r>
    </w:p>
    <w:p>
      <w:pPr>
        <w:pStyle w:val="FirstParagraph"/>
      </w:pPr>
      <w:r>
        <w:t xml:space="preserve">Conducting in-depth interviews with 25 industry leaders including:</w:t>
      </w:r>
    </w:p>
    <w:p>
      <w:pPr>
        <w:numPr>
          <w:ilvl w:val="0"/>
          <w:numId w:val="1005"/>
        </w:numPr>
        <w:pStyle w:val="Compact"/>
      </w:pPr>
      <w:r>
        <w:t xml:space="preserve">OJK compliance officers</w:t>
      </w:r>
    </w:p>
    <w:p>
      <w:pPr>
        <w:numPr>
          <w:ilvl w:val="0"/>
          <w:numId w:val="1005"/>
        </w:numPr>
        <w:pStyle w:val="Compact"/>
      </w:pPr>
      <w:r>
        <w:t xml:space="preserve">C-suite executives from IDX-listed companies (e.g., Bank Mandiri, GoTo Group)</w:t>
      </w:r>
    </w:p>
    <w:p>
      <w:pPr>
        <w:numPr>
          <w:ilvl w:val="0"/>
          <w:numId w:val="1005"/>
        </w:numPr>
        <w:pStyle w:val="Compact"/>
      </w:pPr>
      <w:r>
        <w:t xml:space="preserve">Academics from Universitas Gadjah Mada and Institut Teknologi Bandung</w:t>
      </w:r>
    </w:p>
    <w:p>
      <w:pPr>
        <w:pStyle w:val="FirstParagraph"/>
      </w:pPr>
      <w:r>
        <w:t xml:space="preserve">Focus: "How do you want Financial Analysts in Jakarta to evolve?" with emphasis on practical implementation barriers.</w:t>
      </w:r>
    </w:p>
    <w:bookmarkEnd w:id="25"/>
    <w:bookmarkStart w:id="26" w:name="X34c3de24ed19c75c23ef1d0ef750c8fe5032a88"/>
    <w:p>
      <w:pPr>
        <w:pStyle w:val="Heading3"/>
      </w:pPr>
      <w:r>
        <w:t xml:space="preserve">Phase 3: Framework Development &amp; Validation (Months 7-9)</w:t>
      </w:r>
    </w:p>
    <w:p>
      <w:pPr>
        <w:pStyle w:val="FirstParagraph"/>
      </w:pPr>
      <w:r>
        <w:t xml:space="preserve">Crafting the "Jakarta Analytical Competency Matrix" (JACM), a validated tool integrating:</w:t>
      </w:r>
    </w:p>
    <w:p>
      <w:pPr>
        <w:numPr>
          <w:ilvl w:val="0"/>
          <w:numId w:val="1006"/>
        </w:numPr>
        <w:pStyle w:val="Compact"/>
      </w:pPr>
      <w:r>
        <w:t xml:space="preserve">Technical skills prioritized for Indonesia Jakarta context</w:t>
      </w:r>
    </w:p>
    <w:p>
      <w:pPr>
        <w:numPr>
          <w:ilvl w:val="0"/>
          <w:numId w:val="1006"/>
        </w:numPr>
        <w:pStyle w:val="Compact"/>
      </w:pPr>
      <w:r>
        <w:t xml:space="preserve">Regulatory checkpoints aligned with OJK requirements</w:t>
      </w:r>
    </w:p>
    <w:p>
      <w:pPr>
        <w:numPr>
          <w:ilvl w:val="0"/>
          <w:numId w:val="1006"/>
        </w:numPr>
        <w:pStyle w:val="Compact"/>
      </w:pPr>
      <w:r>
        <w:t xml:space="preserve">Scenario-based training modules for commodity price shocks</w:t>
      </w:r>
    </w:p>
    <w:bookmarkEnd w:id="26"/>
    <w:bookmarkEnd w:id="27"/>
    <w:bookmarkStart w:id="31" w:name="expected-contributions"/>
    <w:p>
      <w:pPr>
        <w:pStyle w:val="Heading2"/>
      </w:pPr>
      <w:r>
        <w:t xml:space="preserve">6. Expected Contributions</w:t>
      </w:r>
    </w:p>
    <w:p>
      <w:pPr>
        <w:pStyle w:val="FirstParagraph"/>
      </w:pPr>
      <w:r>
        <w:t xml:space="preserve">This research will deliver three transformative contributions to the field:</w:t>
      </w:r>
    </w:p>
    <w:bookmarkStart w:id="28" w:name="a.-practical-tool-for-industry-adoption"/>
    <w:p>
      <w:pPr>
        <w:pStyle w:val="Heading3"/>
      </w:pPr>
      <w:r>
        <w:t xml:space="preserve">A. Practical Tool for Industry Adoption</w:t>
      </w:r>
    </w:p>
    <w:p>
      <w:pPr>
        <w:pStyle w:val="FirstParagraph"/>
      </w:pPr>
      <w:r>
        <w:t xml:space="preserve">The JACM framework will provide Jakarta-based firms with a ready-to-implement competency roadmap, directly addressing the 68% of institutions that lack standardized analyst training programs (KPMG Indonesia, 2023).</w:t>
      </w:r>
    </w:p>
    <w:bookmarkEnd w:id="28"/>
    <w:bookmarkStart w:id="29" w:name="b.-academic-knowledge-gap-closure"/>
    <w:p>
      <w:pPr>
        <w:pStyle w:val="Heading3"/>
      </w:pPr>
      <w:r>
        <w:t xml:space="preserve">B. Academic Knowledge Gap Closure</w:t>
      </w:r>
    </w:p>
    <w:p>
      <w:pPr>
        <w:pStyle w:val="FirstParagraph"/>
      </w:pPr>
      <w:r>
        <w:t xml:space="preserve">By centering on Jakarta's market idiosyncrasies—such as the impact of national electric vehicle subsidies on automotive sector analysis—the study will establish a new benchmark for emerging markets research.</w:t>
      </w:r>
    </w:p>
    <w:bookmarkEnd w:id="29"/>
    <w:bookmarkStart w:id="30" w:name="c.-policy-influence"/>
    <w:p>
      <w:pPr>
        <w:pStyle w:val="Heading3"/>
      </w:pPr>
      <w:r>
        <w:t xml:space="preserve">C. Policy Influence</w:t>
      </w:r>
    </w:p>
    <w:p>
      <w:pPr>
        <w:pStyle w:val="FirstParagraph"/>
      </w:pPr>
      <w:r>
        <w:t xml:space="preserve">Findings will be submitted to OJK to inform future certification standards for Financial Analysts in Indonesia Jakarta, potentially influencing ASEAN-wide best practices.</w:t>
      </w:r>
    </w:p>
    <w:bookmarkEnd w:id="30"/>
    <w:bookmarkEnd w:id="31"/>
    <w:bookmarkStart w:id="32" w:name="X661f7f5299696fbc94f1533fe2d20bead8ab3ac"/>
    <w:p>
      <w:pPr>
        <w:pStyle w:val="Heading2"/>
      </w:pPr>
      <w:r>
        <w:t xml:space="preserve">7. Significance in Indonesia Jakarta Context</w:t>
      </w:r>
    </w:p>
    <w:p>
      <w:pPr>
        <w:pStyle w:val="FirstParagraph"/>
      </w:pPr>
      <w:r>
        <w:t xml:space="preserve">Jakarta's status as Southeast Asia's financial hub makes this research critically urgent. With 40% of Indonesia's GDP generated within the Jabodetabek region (Jakarta-Bogor-Depok-Tangerang-Bekasi), and the city hosting over 90% of national capital market operations, enhancing Financial Analyst capabilities directly impacts:</w:t>
      </w:r>
    </w:p>
    <w:p>
      <w:pPr>
        <w:numPr>
          <w:ilvl w:val="0"/>
          <w:numId w:val="1007"/>
        </w:numPr>
        <w:pStyle w:val="Compact"/>
      </w:pPr>
      <w:r>
        <w:rPr>
          <w:bCs/>
          <w:b/>
        </w:rPr>
        <w:t xml:space="preserve">National Economic Growth:</w:t>
      </w:r>
      <w:r>
        <w:t xml:space="preserve"> </w:t>
      </w:r>
      <w:r>
        <w:t xml:space="preserve">Accurate analysis accelerates investment in infrastructure (e.g., Jakarta MRT expansion) and sustainable energy projects.</w:t>
      </w:r>
    </w:p>
    <w:p>
      <w:pPr>
        <w:numPr>
          <w:ilvl w:val="0"/>
          <w:numId w:val="1007"/>
        </w:numPr>
        <w:pStyle w:val="Compact"/>
      </w:pPr>
      <w:r>
        <w:rPr>
          <w:bCs/>
          <w:b/>
        </w:rPr>
        <w:t xml:space="preserve">Financial Inclusion:</w:t>
      </w:r>
      <w:r>
        <w:t xml:space="preserve"> </w:t>
      </w:r>
      <w:r>
        <w:t xml:space="preserve">Better analytics enable fintechs to serve Indonesia's 112 million unbanked population through refined risk models.</w:t>
      </w:r>
    </w:p>
    <w:p>
      <w:pPr>
        <w:numPr>
          <w:ilvl w:val="0"/>
          <w:numId w:val="1007"/>
        </w:numPr>
        <w:pStyle w:val="Compact"/>
      </w:pPr>
      <w:r>
        <w:rPr>
          <w:bCs/>
          <w:b/>
        </w:rPr>
        <w:t xml:space="preserve">Global Competitiveness:</w:t>
      </w:r>
      <w:r>
        <w:t xml:space="preserve"> </w:t>
      </w:r>
      <w:r>
        <w:t xml:space="preserve">As Jakarta targets "ASEAN Financial Hub" status by 2030, sophisticated analytical talent is non-negotiable for attracting sovereign wealth funds and foreign portfolio investors.</w:t>
      </w:r>
    </w:p>
    <w:bookmarkEnd w:id="32"/>
    <w:bookmarkStart w:id="33"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that the role of the Financial Analyst in Indonesia Jakarta has evolved beyond traditional financial reporting into strategic market intelligence. The proposed research will equip analysts to navigate Jakarta's unique convergence of commodity markets, regulatory dynamism, and digital disruption—transforming them from data processors into indispensable strategic assets for Indonesia's economic future. By embedding contextual relevance within the analytical process, this study promises not just academic rigor but tangible value for Indonesia Jakarta's $1.2 trillion financial ecosystem.</w:t>
      </w:r>
    </w:p>
    <w:bookmarkEnd w:id="33"/>
    <w:bookmarkStart w:id="34" w:name="references-selected"/>
    <w:p>
      <w:pPr>
        <w:pStyle w:val="Heading2"/>
      </w:pPr>
      <w:r>
        <w:t xml:space="preserve">9. References (Selected)</w:t>
      </w:r>
    </w:p>
    <w:p>
      <w:pPr>
        <w:pStyle w:val="FirstParagraph"/>
      </w:pPr>
      <w:r>
        <w:t xml:space="preserve">Suryana, A., &amp; Kusnandar, B. (2021). *Commodity Volatility and Equity Valuation in Emerging Markets*. Journal of Southeast Asian Economics.</w:t>
      </w:r>
      <w:r>
        <w:br/>
      </w:r>
      <w:r>
        <w:t xml:space="preserve">OJK. (2023). *Regulatory Update: Digital Asset Framework Implementation Guidelines*. Jakarta.</w:t>
      </w:r>
      <w:r>
        <w:br/>
      </w:r>
      <w:r>
        <w:t xml:space="preserve">Bank Indonesia. (2023). *Financial Literacy Survey Report*. Jakarta.</w:t>
      </w:r>
      <w:r>
        <w:br/>
      </w:r>
      <w:r>
        <w:t xml:space="preserve">KPMG Indonesia. (2023). *Talent Gap Analysis: Financial Services Sector*. Jakarta.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Jakarta's Dynamic Financial Ecosystem</dc:title>
  <dc:creator/>
  <dc:language>en</dc:language>
  <cp:keywords/>
  <dcterms:created xsi:type="dcterms:W3CDTF">2026-07-23T02:27:55Z</dcterms:created>
  <dcterms:modified xsi:type="dcterms:W3CDTF">2026-07-23T02:27:55Z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