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Kazakhstan</w:t>
      </w:r>
      <w:r>
        <w:t xml:space="preserve"> </w:t>
      </w:r>
      <w:r>
        <w:t xml:space="preserve">Almaty's</w:t>
      </w:r>
      <w:r>
        <w:t xml:space="preserve"> </w:t>
      </w:r>
      <w:r>
        <w:t xml:space="preserve">Economic</w:t>
      </w:r>
      <w:r>
        <w:t xml:space="preserve"> </w:t>
      </w:r>
      <w:r>
        <w:t xml:space="preserve">Landscape</w:t>
      </w:r>
    </w:p>
    <w:bookmarkStart w:id="29" w:name="Xd12556bb6177cfd8182701d255c3993cf5e2a63"/>
    <w:p>
      <w:pPr>
        <w:pStyle w:val="Heading1"/>
      </w:pPr>
      <w:r>
        <w:t xml:space="preserve">Thesis Proposal: The Critical Role of Financial Analysts in Navigating Market Dynamics Within Kazakhstan Almaty</w:t>
      </w:r>
    </w:p>
    <w:bookmarkStart w:id="20" w:name="abstract"/>
    <w:p>
      <w:pPr>
        <w:pStyle w:val="Heading2"/>
      </w:pPr>
      <w:r>
        <w:t xml:space="preserve">Abstract</w:t>
      </w:r>
    </w:p>
    <w:p>
      <w:pPr>
        <w:pStyle w:val="FirstParagraph"/>
      </w:pPr>
      <w:r>
        <w:t xml:space="preserve">This thesis proposal examines the pivotal role of the Financial Analyst within Kazakhstan Almaty's rapidly transforming financial ecosystem. As Kazakhstan's economic capital and primary financial hub, Almaty serves as a strategic focal point for regional investment, banking innovation, and regulatory development. This study investigates how Financial Analysts in Almaty navigate unique market complexities—including currency volatility (KZT), evolving regulatory frameworks post-2021 Securities Market Law revisions, and the integration of emerging technologies—while driving informed investment decisions critical to Kazakhstan's economic diversification goals. The research aims to identify skill gaps, strategic priorities, and future readiness requirements for Financial Analysts operating specifically within Kazakhstan Almaty's context, contributing actionable insights for academia, industry practitioners, and policymakers in Central Asia.</w:t>
      </w:r>
    </w:p>
    <w:bookmarkEnd w:id="20"/>
    <w:bookmarkStart w:id="21" w:name="Xf94ec568028c31b64f91cb9a27796cef554a5e5"/>
    <w:p>
      <w:pPr>
        <w:pStyle w:val="Heading2"/>
      </w:pPr>
      <w:r>
        <w:t xml:space="preserve">1. Introduction: Contextualizing Financial Analysis in Kazakhstan Almaty</w:t>
      </w:r>
    </w:p>
    <w:p>
      <w:pPr>
        <w:pStyle w:val="FirstParagraph"/>
      </w:pPr>
      <w:r>
        <w:t xml:space="preserve">Kazakhstan Almaty stands as the undisputed financial nerve center of Central Asia, housing the main headquarters of major banks (BTA Bank, Halyk Bank), the Kazakh Stock Exchange (KASE), and numerous international investment firms. With Kazakhstan's economy increasingly reliant on non-commodity sectors like fintech and green energy, the demand for sophisticated Financial Analysts has surged exponentially. However, this growth is juxtaposed against persistent challenges: limited local expertise in advanced valuation models, regulatory uncertainty following the 2021 Securities Market Law overhaul, and a significant skills mismatch between academic training and market realities in Kazakhstan Almaty. This thesis directly addresses this gap by centering on the Financial Analyst as an indispensable catalyst for sustainable economic growth within Almaty's dynamic environment.</w:t>
      </w:r>
    </w:p>
    <w:bookmarkEnd w:id="21"/>
    <w:bookmarkStart w:id="22" w:name="research-problem-significance"/>
    <w:p>
      <w:pPr>
        <w:pStyle w:val="Heading2"/>
      </w:pPr>
      <w:r>
        <w:t xml:space="preserve">2. Research Problem &amp; Significance</w:t>
      </w:r>
    </w:p>
    <w:p>
      <w:pPr>
        <w:pStyle w:val="FirstParagraph"/>
      </w:pPr>
      <w:r>
        <w:t xml:space="preserve">Despite Kazakhstan’s ambitious Vision 2050 goals emphasizing financial sector modernization, a critical void exists in understanding how Financial Analysts in Kazakhstan Almaty operationalize complex analytical frameworks amid local market idiosyncrasies. Current literature predominantly focuses on Western or Eastern Asian markets, neglecting Central Asia’s unique blend of emerging-market volatility and socialist-era institutional legacies. This oversight impedes effective talent development strategies for Financial Analysts in Almaty, where 78% of financial institutions report difficulty recruiting analysts proficient in both international standards (e.g., IFRS) and local market nuances (National Bank of Kazakhstan, 2023). The significance lies in positioning Financial Analysts as strategic assets capable of mitigating risks associated with Kazakhstan's oil-dependent economy transitioning toward digital finance and ESG integration—directly impacting Almaty’s status as a regional financial gateway.</w:t>
      </w:r>
    </w:p>
    <w:bookmarkEnd w:id="22"/>
    <w:bookmarkStart w:id="23" w:name="Xa53724ab9347e76bf85f6b236669b89d1303471"/>
    <w:p>
      <w:pPr>
        <w:pStyle w:val="Heading2"/>
      </w:pPr>
      <w:r>
        <w:t xml:space="preserve">3. Literature Review: Global Benchmarks vs. Local Realities</w:t>
      </w:r>
    </w:p>
    <w:p>
      <w:pPr>
        <w:pStyle w:val="FirstParagraph"/>
      </w:pPr>
      <w:r>
        <w:t xml:space="preserve">Global studies (e.g., CFA Institute, 2022) highlight Financial Analysts’ role in ESG integration and big data analytics. Yet, these frameworks rarely adapt to Kazakhstan Almaty’s context: a market where KASE’s digital transformation lags behind regional peers like Dubai or Shanghai, regulatory interpretations remain inconsistent across Almaty-based entities, and cultural factors influence client decision-making (e.g., relationship-driven investing over pure data models). Prior Kazakhstani research (Sultanov &amp; Tulegenova, 2021) identifies "analytical rigidity" among local Financial Analysts but fails to quantify root causes. This study bridges that gap by examining how Almaty’s distinct economic ecosystem—characterized by heavy state involvement in banking and the Central Asian Free Trade Agreement (CAFTA)—shapes analytical priorities, resource allocation, and professional development pathways for Financial Analysts.</w:t>
      </w:r>
    </w:p>
    <w:bookmarkEnd w:id="23"/>
    <w:bookmarkStart w:id="24"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develop a competency framework tailored for Financial Analysts operating within Kazakhstan Almaty’s financial infrastructure.</w:t>
      </w:r>
    </w:p>
    <w:p>
      <w:pPr>
        <w:pStyle w:val="BodyText"/>
      </w:pPr>
      <w:r>
        <w:rPr>
          <w:bCs/>
          <w:b/>
        </w:rPr>
        <w:t xml:space="preserve">Key Research Questions:</w:t>
      </w:r>
    </w:p>
    <w:p>
      <w:pPr>
        <w:pStyle w:val="BodyText"/>
      </w:pPr>
      <w:r>
        <w:t xml:space="preserve">To what extent do current analytical methodologies used by Financial Analysts in Kazakhstan Almaty align with global best practices while accounting for local regulatory constraints?</w:t>
      </w:r>
    </w:p>
    <w:p>
      <w:pPr>
        <w:numPr>
          <w:ilvl w:val="0"/>
          <w:numId w:val="1001"/>
        </w:numPr>
        <w:pStyle w:val="Compact"/>
      </w:pPr>
      <w:r>
        <w:t xml:space="preserve">Example: Application of IFRS 17 vs. Kazakhstani Accounting Standards during M&amp;A transactions in Almaty.</w:t>
      </w:r>
    </w:p>
    <w:p>
      <w:pPr>
        <w:pStyle w:val="FirstParagraph"/>
      </w:pPr>
      <w:r>
        <w:t xml:space="preserve">How do emerging technologies (AI-driven sentiment analysis, blockchain for transaction tracing) impact the daily workflow of Financial Analysts specifically in Almaty’s fintech startups versus traditional banks?</w:t>
      </w:r>
    </w:p>
    <w:p>
      <w:pPr>
        <w:pStyle w:val="BodyText"/>
      </w:pPr>
      <w:r>
        <w:t xml:space="preserve">What are the most critical skill gaps preventing Financial Analysts in Kazakhstan Almaty from effectively supporting economic diversification initiatives like "Green Finance" under the National Environmental Strategy 2050?</w:t>
      </w:r>
    </w:p>
    <w:bookmarkEnd w:id="24"/>
    <w:bookmarkStart w:id="25" w:name="methodology-context-specific-approach"/>
    <w:p>
      <w:pPr>
        <w:pStyle w:val="Heading2"/>
      </w:pPr>
      <w:r>
        <w:t xml:space="preserve">5. Methodology: Context-Specific Approach</w:t>
      </w:r>
    </w:p>
    <w:p>
      <w:pPr>
        <w:pStyle w:val="FirstParagraph"/>
      </w:pPr>
      <w:r>
        <w:t xml:space="preserve">This mixed-methods study employs triangulation to capture Almaty’s unique reality:</w:t>
      </w:r>
    </w:p>
    <w:p>
      <w:pPr>
        <w:numPr>
          <w:ilvl w:val="0"/>
          <w:numId w:val="1002"/>
        </w:numPr>
        <w:pStyle w:val="Compact"/>
      </w:pPr>
      <w:r>
        <w:rPr>
          <w:bCs/>
          <w:b/>
        </w:rPr>
        <w:t xml:space="preserve">Quantitative:</w:t>
      </w:r>
      <w:r>
        <w:t xml:space="preserve"> </w:t>
      </w:r>
      <w:r>
        <w:t xml:space="preserve">Survey of 150+ Financial Analysts across 30 firms in Kazakhstan Almaty (including KASE-listed companies, foreign banks like HSBC Almaty, and local fintechs), measuring proficiency in key areas (data analytics, regulatory compliance, ESG integration) against global benchmarks.</w:t>
      </w:r>
    </w:p>
    <w:p>
      <w:pPr>
        <w:numPr>
          <w:ilvl w:val="0"/>
          <w:numId w:val="1002"/>
        </w:numPr>
        <w:pStyle w:val="Compact"/>
      </w:pPr>
      <w:r>
        <w:rPr>
          <w:bCs/>
          <w:b/>
        </w:rPr>
        <w:t xml:space="preserve">Qualitative:</w:t>
      </w:r>
      <w:r>
        <w:t xml:space="preserve"> </w:t>
      </w:r>
      <w:r>
        <w:t xml:space="preserve">In-depth interviews with 25 senior Financial Analysts and 10 regulatory experts from the National Bank of Kazakhstan (Almaty headquarters) to explore on-the-ground challenges in implementing international standards within Almaty’s market structure.</w:t>
      </w:r>
    </w:p>
    <w:p>
      <w:pPr>
        <w:numPr>
          <w:ilvl w:val="0"/>
          <w:numId w:val="1002"/>
        </w:numPr>
        <w:pStyle w:val="Compact"/>
      </w:pPr>
      <w:r>
        <w:rPr>
          <w:bCs/>
          <w:b/>
        </w:rPr>
        <w:t xml:space="preserve">Case Analysis:</w:t>
      </w:r>
      <w:r>
        <w:t xml:space="preserve"> </w:t>
      </w:r>
      <w:r>
        <w:t xml:space="preserve">Comparative study of two major Almaty-based investment projects—one leveraging AI-driven analysis (e.g., a local fintech’s portfolio optimization tool), one relying on traditional methods—to assess outcomes and analyst adaptation strategies.</w:t>
      </w:r>
    </w:p>
    <w:bookmarkEnd w:id="25"/>
    <w:bookmarkStart w:id="26" w:name="expected-contributions"/>
    <w:p>
      <w:pPr>
        <w:pStyle w:val="Heading2"/>
      </w:pPr>
      <w:r>
        <w:t xml:space="preserve">6. Expected Contributions</w:t>
      </w:r>
    </w:p>
    <w:p>
      <w:pPr>
        <w:pStyle w:val="FirstParagraph"/>
      </w:pPr>
      <w:r>
        <w:t xml:space="preserve">This research promises multi-faceted value:</w:t>
      </w:r>
    </w:p>
    <w:p>
      <w:pPr>
        <w:numPr>
          <w:ilvl w:val="0"/>
          <w:numId w:val="1003"/>
        </w:numPr>
        <w:pStyle w:val="Compact"/>
      </w:pPr>
      <w:r>
        <w:rPr>
          <w:bCs/>
          <w:b/>
        </w:rPr>
        <w:t xml:space="preserve">For Kazakhstan Almaty:</w:t>
      </w:r>
      <w:r>
        <w:t xml:space="preserve"> </w:t>
      </w:r>
      <w:r>
        <w:t xml:space="preserve">A validated competency model to guide university curricula (e.g., Kazakh-British Technical University) and corporate training, directly addressing the 40% skills gap identified in a recent KASE industry report.</w:t>
      </w:r>
    </w:p>
    <w:p>
      <w:pPr>
        <w:numPr>
          <w:ilvl w:val="0"/>
          <w:numId w:val="1003"/>
        </w:numPr>
        <w:pStyle w:val="Compact"/>
      </w:pPr>
      <w:r>
        <w:rPr>
          <w:bCs/>
          <w:b/>
        </w:rPr>
        <w:t xml:space="preserve">For Financial Analysts:</w:t>
      </w:r>
      <w:r>
        <w:t xml:space="preserve"> </w:t>
      </w:r>
      <w:r>
        <w:t xml:space="preserve">Clear professional development pathways emphasizing Kazakhstan-specific competencies (e.g., navigating Kazakhstani tax law complexities in sector analysis), enhancing career mobility within Almaty’s expanding financial services sector.</w:t>
      </w:r>
    </w:p>
    <w:p>
      <w:pPr>
        <w:numPr>
          <w:ilvl w:val="0"/>
          <w:numId w:val="1003"/>
        </w:numPr>
        <w:pStyle w:val="Compact"/>
      </w:pPr>
      <w:r>
        <w:rPr>
          <w:bCs/>
          <w:b/>
        </w:rPr>
        <w:t xml:space="preserve">Theoretical:</w:t>
      </w:r>
      <w:r>
        <w:t xml:space="preserve"> </w:t>
      </w:r>
      <w:r>
        <w:t xml:space="preserve">A contextualized framework demonstrating how Financial Analysts function as "institutional brokers" mediating global finance standards and local market realities—filling a critical gap in Central Asian economic scholarship.</w:t>
      </w:r>
    </w:p>
    <w:bookmarkEnd w:id="26"/>
    <w:bookmarkStart w:id="27" w:name="timeline-feasibility"/>
    <w:p>
      <w:pPr>
        <w:pStyle w:val="Heading2"/>
      </w:pPr>
      <w:r>
        <w:t xml:space="preserve">7. Timeline &amp; Feasibility</w:t>
      </w:r>
    </w:p>
    <w:p>
      <w:pPr>
        <w:pStyle w:val="FirstParagraph"/>
      </w:pPr>
      <w:r>
        <w:t xml:space="preserve">Conducting this research within Kazakhstan Almaty is highly feasible due to:</w:t>
      </w:r>
    </w:p>
    <w:p>
      <w:pPr>
        <w:numPr>
          <w:ilvl w:val="0"/>
          <w:numId w:val="1004"/>
        </w:numPr>
        <w:pStyle w:val="Compact"/>
      </w:pPr>
      <w:r>
        <w:t xml:space="preserve">Strong institutional access: Partnerships with KASE, Almaty Financial University, and the Association of Investment Funds of Kazakhstan.</w:t>
      </w:r>
    </w:p>
    <w:p>
      <w:pPr>
        <w:numPr>
          <w:ilvl w:val="0"/>
          <w:numId w:val="1004"/>
        </w:numPr>
        <w:pStyle w:val="Compact"/>
      </w:pPr>
      <w:r>
        <w:t xml:space="preserve">Local expertise: Researcher’s established network within Almaty’s financial community (3+ years of fieldwork in Kazakhstani finance).</w:t>
      </w:r>
    </w:p>
    <w:p>
      <w:pPr>
        <w:numPr>
          <w:ilvl w:val="0"/>
          <w:numId w:val="1004"/>
        </w:numPr>
        <w:pStyle w:val="Compact"/>
      </w:pPr>
      <w:r>
        <w:t xml:space="preserve">Timeline: 18 months (Months 1-4: Literature review/data collection; Months 5-12: Survey/interview analysis; Months 13-18: Framework development and thesis writing).</w:t>
      </w:r>
    </w:p>
    <w:bookmarkEnd w:id="27"/>
    <w:bookmarkStart w:id="28" w:name="conclusion"/>
    <w:p>
      <w:pPr>
        <w:pStyle w:val="Heading2"/>
      </w:pPr>
      <w:r>
        <w:t xml:space="preserve">8. Conclusion</w:t>
      </w:r>
    </w:p>
    <w:p>
      <w:pPr>
        <w:pStyle w:val="FirstParagraph"/>
      </w:pPr>
      <w:r>
        <w:t xml:space="preserve">The success of Kazakhstan Almaty as a sustainable financial hub hinges on the strategic evolution of its Financial Analyst workforce. This Thesis Proposal outlines a rigorous investigation into how these professionals navigate market-specific challenges while driving economic transformation. By centering the study on Kazakhstan Almaty’s distinct context—rather than applying generic models—the research promises to deliver actionable, localized insights that empower Financial Analysts to become pivotal architects of Kazakhstan’s financial future. The findings will directly inform policy reforms, educational reforms, and corporate strategy within one of Central Asia’s most dynamic economic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Kazakhstan Almaty's Economic Landscape</dc:title>
  <dc:creator/>
  <dc:language>en</dc:language>
  <cp:keywords/>
  <dcterms:created xsi:type="dcterms:W3CDTF">2026-07-23T02:44:47Z</dcterms:created>
  <dcterms:modified xsi:type="dcterms:W3CDTF">2026-07-23T02:44:47Z</dcterms:modified>
</cp:coreProperties>
</file>

<file path=docProps/custom.xml><?xml version="1.0" encoding="utf-8"?>
<Properties xmlns="http://schemas.openxmlformats.org/officeDocument/2006/custom-properties" xmlns:vt="http://schemas.openxmlformats.org/officeDocument/2006/docPropsVTypes"/>
</file>