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Capital</w:t>
      </w:r>
      <w:r>
        <w:t xml:space="preserve"> </w:t>
      </w:r>
      <w:r>
        <w:t xml:space="preserve">Market</w:t>
      </w:r>
    </w:p>
    <w:bookmarkStart w:id="31" w:name="X9c07a61b26bb03621508a693292b015ff302d18"/>
    <w:p>
      <w:pPr>
        <w:pStyle w:val="Heading1"/>
      </w:pPr>
      <w:r>
        <w:t xml:space="preserve">Thesis Proposal: The Role and Impact of Financial Analysts in Shaping Investment Decisions within Malaysia Kuala Lumpur's Capital Market</w:t>
      </w:r>
    </w:p>
    <w:bookmarkStart w:id="20" w:name="introduction-and-background"/>
    <w:p>
      <w:pPr>
        <w:pStyle w:val="Heading2"/>
      </w:pPr>
      <w:r>
        <w:t xml:space="preserve">1. Introduction and Background</w:t>
      </w:r>
    </w:p>
    <w:p>
      <w:pPr>
        <w:pStyle w:val="FirstParagraph"/>
      </w:pPr>
      <w:r>
        <w:t xml:space="preserve">In the dynamic financial landscape of Southeast Asia, Malaysia stands as a pivotal economic hub with Kuala Lumpur (KL) serving as its undisputed financial capital. As the gateway to ASEAN's rapidly evolving markets, KL's Bursa Malaysia (formerly KLSE) has grown into a sophisticated exchange attracting international investors. Within this ecosystem,</w:t>
      </w:r>
      <w:r>
        <w:t xml:space="preserve"> </w:t>
      </w:r>
      <w:r>
        <w:rPr>
          <w:bCs/>
          <w:b/>
        </w:rPr>
        <w:t xml:space="preserve">Financial Analysts</w:t>
      </w:r>
      <w:r>
        <w:t xml:space="preserve"> </w:t>
      </w:r>
      <w:r>
        <w:t xml:space="preserve">play an indispensable role in interpreting complex market data, assessing corporate performance, and guiding investment strategies. However, despite their critical function in Malaysia's $200 billion+ capital market (Bursa Malaysia Annual Report, 2023), there remains a significant gap in localized academic research examining how</w:t>
      </w:r>
      <w:r>
        <w:t xml:space="preserve"> </w:t>
      </w:r>
      <w:r>
        <w:rPr>
          <w:bCs/>
          <w:b/>
        </w:rPr>
        <w:t xml:space="preserve">Financial Analyst</w:t>
      </w:r>
      <w:r>
        <w:t xml:space="preserve">s specifically operate within the unique regulatory, cultural, and economic context of</w:t>
      </w:r>
      <w:r>
        <w:t xml:space="preserve"> </w:t>
      </w:r>
      <w:r>
        <w:rPr>
          <w:bCs/>
          <w:b/>
        </w:rPr>
        <w:t xml:space="preserve">Malaysia Kuala Lumpur</w:t>
      </w:r>
      <w:r>
        <w:t xml:space="preserve">. This thesis proposal addresses this void by investigating the evolving role of Financial Analysts in KL's market ecosystem and their tangible impact on investment decision-making processes.</w:t>
      </w:r>
    </w:p>
    <w:bookmarkEnd w:id="20"/>
    <w:bookmarkStart w:id="21" w:name="problem-statement"/>
    <w:p>
      <w:pPr>
        <w:pStyle w:val="Heading2"/>
      </w:pPr>
      <w:r>
        <w:t xml:space="preserve">2. Problem Statement</w:t>
      </w:r>
    </w:p>
    <w:p>
      <w:pPr>
        <w:pStyle w:val="FirstParagraph"/>
      </w:pPr>
      <w:r>
        <w:t xml:space="preserve">The current academic literature on financial analysts is predominantly centered on developed markets (US, EU) or general emerging market studies, often overlooking the nuanced realities of Southeast Asian capital markets like Malaysia's. This oversight creates a critical knowledge gap for stakeholders in</w:t>
      </w:r>
      <w:r>
        <w:t xml:space="preserve"> </w:t>
      </w:r>
      <w:r>
        <w:rPr>
          <w:bCs/>
          <w:b/>
        </w:rPr>
        <w:t xml:space="preserve">Malaysia Kuala Lumpur</w:t>
      </w:r>
      <w:r>
        <w:t xml:space="preserve">:</w:t>
      </w:r>
    </w:p>
    <w:p>
      <w:pPr>
        <w:numPr>
          <w:ilvl w:val="0"/>
          <w:numId w:val="1001"/>
        </w:numPr>
        <w:pStyle w:val="Compact"/>
      </w:pPr>
      <w:r>
        <w:rPr>
          <w:iCs/>
          <w:i/>
        </w:rPr>
        <w:t xml:space="preserve">Regulators:</w:t>
      </w:r>
      <w:r>
        <w:t xml:space="preserve"> </w:t>
      </w:r>
      <w:r>
        <w:t xml:space="preserve">The Securities Commission Malaysia (SC) lacks granular insights to refine analyst regulations under the new Capital Market and Services Act 2020.</w:t>
      </w:r>
    </w:p>
    <w:p>
      <w:pPr>
        <w:numPr>
          <w:ilvl w:val="0"/>
          <w:numId w:val="1001"/>
        </w:numPr>
        <w:pStyle w:val="Compact"/>
      </w:pPr>
      <w:r>
        <w:rPr>
          <w:iCs/>
          <w:i/>
        </w:rPr>
        <w:t xml:space="preserve">Financial Institutions:</w:t>
      </w:r>
      <w:r>
        <w:t xml:space="preserve"> </w:t>
      </w:r>
      <w:r>
        <w:t xml:space="preserve">Major firms like Maybank Investment Bank, CIMB, and RHB Capital require evidence-based strategies to optimize analyst coverage and client advisory services in KL's unique market.</w:t>
      </w:r>
    </w:p>
    <w:p>
      <w:pPr>
        <w:numPr>
          <w:ilvl w:val="0"/>
          <w:numId w:val="1001"/>
        </w:numPr>
        <w:pStyle w:val="Compact"/>
      </w:pPr>
      <w:r>
        <w:rPr>
          <w:iCs/>
          <w:i/>
        </w:rPr>
        <w:t xml:space="preserve">Cross-Border Investors:</w:t>
      </w:r>
      <w:r>
        <w:t xml:space="preserve"> </w:t>
      </w:r>
      <w:r>
        <w:t xml:space="preserve">International asset managers face challenges navigating Malaysia's hybrid regulatory framework (combining Shariah-compliant structures with conventional finance) without localised analyst insights.</w:t>
      </w:r>
    </w:p>
    <w:p>
      <w:pPr>
        <w:pStyle w:val="FirstParagraph"/>
      </w:pPr>
      <w:r>
        <w:t xml:space="preserve">Without context-specific research, the potential of Financial Analysts to enhance market efficiency and investor confidence in</w:t>
      </w:r>
      <w:r>
        <w:t xml:space="preserve"> </w:t>
      </w:r>
      <w:r>
        <w:rPr>
          <w:bCs/>
          <w:b/>
        </w:rPr>
        <w:t xml:space="preserve">Malaysia Kuala Lumpur</w:t>
      </w:r>
      <w:r>
        <w:t xml:space="preserve">'s capital market remains underutilized.</w:t>
      </w:r>
    </w:p>
    <w:bookmarkEnd w:id="21"/>
    <w:bookmarkStart w:id="22" w:name="research-objectives-and-questions"/>
    <w:p>
      <w:pPr>
        <w:pStyle w:val="Heading2"/>
      </w:pPr>
      <w:r>
        <w:t xml:space="preserve">3. Research Objectives and Questions</w:t>
      </w:r>
    </w:p>
    <w:p>
      <w:pPr>
        <w:pStyle w:val="FirstParagraph"/>
      </w:pPr>
      <w:r>
        <w:t xml:space="preserve">This study aims to comprehensively evaluate the operational framework, influence, and challenges of Financial Analysts in KL. The primary objectives are:</w:t>
      </w:r>
    </w:p>
    <w:p>
      <w:pPr>
        <w:numPr>
          <w:ilvl w:val="0"/>
          <w:numId w:val="1002"/>
        </w:numPr>
        <w:pStyle w:val="Compact"/>
      </w:pPr>
      <w:r>
        <w:t xml:space="preserve">To map the institutional structure of Financial Analyst roles within major brokerages operating from Kuala Lumpur.</w:t>
      </w:r>
    </w:p>
    <w:p>
      <w:pPr>
        <w:numPr>
          <w:ilvl w:val="0"/>
          <w:numId w:val="1002"/>
        </w:numPr>
        <w:pStyle w:val="Compact"/>
      </w:pPr>
      <w:r>
        <w:t xml:space="preserve">To quantify the impact of analyst recommendations on stock performance for Bursa Malaysia-listed companies (2018-2023).</w:t>
      </w:r>
    </w:p>
    <w:p>
      <w:pPr>
        <w:numPr>
          <w:ilvl w:val="0"/>
          <w:numId w:val="1002"/>
        </w:numPr>
        <w:pStyle w:val="Compact"/>
      </w:pPr>
      <w:r>
        <w:t xml:space="preserve">To identify sector-specific challenges faced by Financial Analysts in Malaysia's unique market environment (e.g., dual-listed firms, ESG integration, Shariah-compliance requirements).</w:t>
      </w:r>
    </w:p>
    <w:p>
      <w:pPr>
        <w:pStyle w:val="FirstParagraph"/>
      </w:pPr>
      <w:r>
        <w:t xml:space="preserve">Key research questions guiding this investigation include:</w:t>
      </w:r>
    </w:p>
    <w:p>
      <w:pPr>
        <w:numPr>
          <w:ilvl w:val="0"/>
          <w:numId w:val="1003"/>
        </w:numPr>
        <w:pStyle w:val="Compact"/>
      </w:pPr>
      <w:r>
        <w:t xml:space="preserve">How do Financial Analysts' recommendations in KL differ from global benchmarks in terms of timeliness and accuracy?</w:t>
      </w:r>
    </w:p>
    <w:p>
      <w:pPr>
        <w:numPr>
          <w:ilvl w:val="0"/>
          <w:numId w:val="1003"/>
        </w:numPr>
        <w:pStyle w:val="Compact"/>
      </w:pPr>
      <w:r>
        <w:t xml:space="preserve">To what extent do analyst reports influence trading volumes for companies across Malaysia's top 5 sectors (e.g., banking, plantation, technology)?</w:t>
      </w:r>
    </w:p>
    <w:p>
      <w:pPr>
        <w:numPr>
          <w:ilvl w:val="0"/>
          <w:numId w:val="1003"/>
        </w:numPr>
        <w:pStyle w:val="Compact"/>
      </w:pPr>
      <w:r>
        <w:t xml:space="preserve">What regulatory or cultural factors specific to</w:t>
      </w:r>
      <w:r>
        <w:t xml:space="preserve"> </w:t>
      </w:r>
      <w:r>
        <w:rPr>
          <w:bCs/>
          <w:b/>
        </w:rPr>
        <w:t xml:space="preserve">Malaysia Kuala Lumpur</w:t>
      </w:r>
      <w:r>
        <w:t xml:space="preserve"> </w:t>
      </w:r>
      <w:r>
        <w:t xml:space="preserve">constrain or enhance the effectiveness of Financial Analysts?</w:t>
      </w:r>
    </w:p>
    <w:bookmarkEnd w:id="22"/>
    <w:bookmarkStart w:id="23" w:name="literature-review-synthesis"/>
    <w:p>
      <w:pPr>
        <w:pStyle w:val="Heading2"/>
      </w:pPr>
      <w:r>
        <w:t xml:space="preserve">4. Literature Review (Synthesis)</w:t>
      </w:r>
    </w:p>
    <w:p>
      <w:pPr>
        <w:pStyle w:val="FirstParagraph"/>
      </w:pPr>
      <w:r>
        <w:t xml:space="preserve">Existing scholarship reveals that Financial Analysts drive market efficiency globally, but with notable caveats for emerging markets:</w:t>
      </w:r>
    </w:p>
    <w:p>
      <w:pPr>
        <w:numPr>
          <w:ilvl w:val="0"/>
          <w:numId w:val="1004"/>
        </w:numPr>
        <w:pStyle w:val="Compact"/>
      </w:pPr>
      <w:r>
        <w:rPr>
          <w:iCs/>
          <w:i/>
        </w:rPr>
        <w:t xml:space="preserve">Global Context:</w:t>
      </w:r>
      <w:r>
        <w:t xml:space="preserve"> </w:t>
      </w:r>
      <w:r>
        <w:t xml:space="preserve">Studies by Li &amp; Liu (2020) confirm analysts boost price discovery in developed markets, but this effect is diluted in emerging economies due to information asymmetry.</w:t>
      </w:r>
    </w:p>
    <w:p>
      <w:pPr>
        <w:numPr>
          <w:ilvl w:val="0"/>
          <w:numId w:val="1004"/>
        </w:numPr>
        <w:pStyle w:val="Compact"/>
      </w:pPr>
      <w:r>
        <w:rPr>
          <w:iCs/>
          <w:i/>
        </w:rPr>
        <w:t xml:space="preserve">ASEAN Focus:</w:t>
      </w:r>
      <w:r>
        <w:t xml:space="preserve"> </w:t>
      </w:r>
      <w:r>
        <w:t xml:space="preserve">Research on Thailand and Singapore (Tan et al., 2021) indicates that analyst influence correlates with market maturity, yet Malaysia's distinct regulatory hybridity remains unexamined.</w:t>
      </w:r>
    </w:p>
    <w:p>
      <w:pPr>
        <w:numPr>
          <w:ilvl w:val="0"/>
          <w:numId w:val="1004"/>
        </w:numPr>
        <w:pStyle w:val="Compact"/>
      </w:pPr>
      <w:r>
        <w:rPr>
          <w:iCs/>
          <w:i/>
        </w:rPr>
        <w:t xml:space="preserve">Malaysia Gap:</w:t>
      </w:r>
      <w:r>
        <w:t xml:space="preserve"> </w:t>
      </w:r>
      <w:r>
        <w:t xml:space="preserve">A seminal study by Abdullah &amp; Ismail (2019) analyzed Malaysian analysts' forecasting accuracy but ignored institutional contexts and post-2020 market shifts. This thesis directly addresses this limitation.</w:t>
      </w:r>
    </w:p>
    <w:p>
      <w:pPr>
        <w:pStyle w:val="FirstParagraph"/>
      </w:pPr>
      <w:r>
        <w:t xml:space="preserve">This research bridges the gap by embedding analysis within KL's specific ecosystem—considering factors like Bursa Malaysia's ESG disclosure framework, Islamic finance integration, and the SC's recent digital transformation initiatives.</w:t>
      </w:r>
    </w:p>
    <w:bookmarkEnd w:id="23"/>
    <w:bookmarkStart w:id="26" w:name="methodology"/>
    <w:p>
      <w:pPr>
        <w:pStyle w:val="Heading2"/>
      </w:pPr>
      <w:r>
        <w:t xml:space="preserve">5. Methodology</w:t>
      </w:r>
    </w:p>
    <w:p>
      <w:pPr>
        <w:pStyle w:val="FirstParagraph"/>
      </w:pPr>
      <w:r>
        <w:t xml:space="preserve">A mixed-methods approach will ensure robust insights tailored to</w:t>
      </w:r>
      <w:r>
        <w:t xml:space="preserve"> </w:t>
      </w:r>
      <w:r>
        <w:rPr>
          <w:bCs/>
          <w:b/>
        </w:rPr>
        <w:t xml:space="preserve">Malaysia Kuala Lumpur</w:t>
      </w:r>
      <w:r>
        <w:t xml:space="preserve">:</w:t>
      </w:r>
    </w:p>
    <w:bookmarkStart w:id="24" w:name="quantitative-component"/>
    <w:p>
      <w:pPr>
        <w:pStyle w:val="Heading3"/>
      </w:pPr>
      <w:r>
        <w:t xml:space="preserve">Quantitative Component:</w:t>
      </w:r>
    </w:p>
    <w:p>
      <w:pPr>
        <w:numPr>
          <w:ilvl w:val="0"/>
          <w:numId w:val="1005"/>
        </w:numPr>
        <w:pStyle w:val="Compact"/>
      </w:pPr>
      <w:r>
        <w:rPr>
          <w:iCs/>
          <w:i/>
        </w:rPr>
        <w:t xml:space="preserve">Data Sources:</w:t>
      </w:r>
      <w:r>
        <w:t xml:space="preserve"> </w:t>
      </w:r>
      <w:r>
        <w:t xml:space="preserve">Bursa Malaysia historical prices, analyst reports from 10 major KL-based brokerages (Maybank IB, CIMB, etc.), and Reuters Eikon data (2018-2023).</w:t>
      </w:r>
    </w:p>
    <w:p>
      <w:pPr>
        <w:numPr>
          <w:ilvl w:val="0"/>
          <w:numId w:val="1005"/>
        </w:numPr>
        <w:pStyle w:val="Compact"/>
      </w:pPr>
      <w:r>
        <w:rPr>
          <w:iCs/>
          <w:i/>
        </w:rPr>
        <w:t xml:space="preserve">Analysis:</w:t>
      </w:r>
      <w:r>
        <w:t xml:space="preserve"> </w:t>
      </w:r>
      <w:r>
        <w:t xml:space="preserve">Event studies measuring stock volatility around analyst upgrade/downgrade announcements; regression models controlling for sector performance and macroeconomic indicators.</w:t>
      </w:r>
    </w:p>
    <w:bookmarkEnd w:id="24"/>
    <w:bookmarkStart w:id="25" w:name="qualitative-component"/>
    <w:p>
      <w:pPr>
        <w:pStyle w:val="Heading3"/>
      </w:pPr>
      <w:r>
        <w:t xml:space="preserve">Qualitative Component:</w:t>
      </w:r>
    </w:p>
    <w:p>
      <w:pPr>
        <w:numPr>
          <w:ilvl w:val="0"/>
          <w:numId w:val="1006"/>
        </w:numPr>
        <w:pStyle w:val="Compact"/>
      </w:pPr>
      <w:r>
        <w:rPr>
          <w:iCs/>
          <w:i/>
        </w:rPr>
        <w:t xml:space="preserve">Data Sources:</w:t>
      </w:r>
      <w:r>
        <w:t xml:space="preserve"> </w:t>
      </w:r>
      <w:r>
        <w:t xml:space="preserve">Semi-structured interviews with 15+ Financial Analysts (from 8 firms), including senior analysts from KL offices, plus regulators (SC staff) and institutional investors.</w:t>
      </w:r>
    </w:p>
    <w:p>
      <w:pPr>
        <w:numPr>
          <w:ilvl w:val="0"/>
          <w:numId w:val="1006"/>
        </w:numPr>
        <w:pStyle w:val="Compact"/>
      </w:pPr>
      <w:r>
        <w:rPr>
          <w:iCs/>
          <w:i/>
        </w:rPr>
        <w:t xml:space="preserve">Analysis:</w:t>
      </w:r>
      <w:r>
        <w:t xml:space="preserve"> </w:t>
      </w:r>
      <w:r>
        <w:t xml:space="preserve">Thematic analysis using NVivo to identify recurring challenges (e.g., "data accessibility in SME listings," "cultural nuances in client communication").</w:t>
      </w:r>
    </w:p>
    <w:p>
      <w:pPr>
        <w:pStyle w:val="FirstParagraph"/>
      </w:pPr>
      <w:r>
        <w:t xml:space="preserve">All data collection will adhere to the Malaysian Social Science Research Ethics Committee guidelines. Fieldwork will be conducted within Kuala Lumpur's financial district (Petaling Jaya, KLCC) to capture hyper-local insights.</w:t>
      </w:r>
    </w:p>
    <w:bookmarkEnd w:id="25"/>
    <w:bookmarkEnd w:id="26"/>
    <w:bookmarkStart w:id="27" w:name="expected-contributions"/>
    <w:p>
      <w:pPr>
        <w:pStyle w:val="Heading2"/>
      </w:pPr>
      <w:r>
        <w:t xml:space="preserve">6. Expected Contributions</w:t>
      </w:r>
    </w:p>
    <w:p>
      <w:pPr>
        <w:pStyle w:val="FirstParagraph"/>
      </w:pPr>
      <w:r>
        <w:t xml:space="preserve">This thesis promises significant contributions across multiple dimensions:</w:t>
      </w:r>
    </w:p>
    <w:p>
      <w:pPr>
        <w:numPr>
          <w:ilvl w:val="0"/>
          <w:numId w:val="1007"/>
        </w:numPr>
        <w:pStyle w:val="Compact"/>
      </w:pPr>
      <w:r>
        <w:rPr>
          <w:iCs/>
          <w:i/>
        </w:rPr>
        <w:t xml:space="preserve">Theoretical:</w:t>
      </w:r>
      <w:r>
        <w:t xml:space="preserve"> </w:t>
      </w:r>
      <w:r>
        <w:t xml:space="preserve">Develops a conceptual framework for Financial Analyst efficacy in hybrid emerging markets, extending global literature to Asia-Pacific contexts.</w:t>
      </w:r>
    </w:p>
    <w:p>
      <w:pPr>
        <w:numPr>
          <w:ilvl w:val="0"/>
          <w:numId w:val="1007"/>
        </w:numPr>
        <w:pStyle w:val="Compact"/>
      </w:pPr>
      <w:r>
        <w:rPr>
          <w:iCs/>
          <w:i/>
        </w:rPr>
        <w:t xml:space="preserve">Regulatory:</w:t>
      </w:r>
      <w:r>
        <w:t xml:space="preserve"> </w:t>
      </w:r>
      <w:r>
        <w:t xml:space="preserve">Provides evidence-based recommendations to the Securities Commission Malaysia on enhancing analyst licensing standards and disclosure requirements.</w:t>
      </w:r>
    </w:p>
    <w:p>
      <w:pPr>
        <w:numPr>
          <w:ilvl w:val="0"/>
          <w:numId w:val="1007"/>
        </w:numPr>
        <w:pStyle w:val="Compact"/>
      </w:pPr>
      <w:r>
        <w:rPr>
          <w:iCs/>
          <w:i/>
        </w:rPr>
        <w:t xml:space="preserve">Practical:</w:t>
      </w:r>
      <w:r>
        <w:t xml:space="preserve"> </w:t>
      </w:r>
      <w:r>
        <w:t xml:space="preserve">Delivers actionable insights for KL-based brokerages (e.g., optimizing coverage ratios, training modules addressing Shariah-compliant analysis) and asset managers navigating Malaysia's capital market.</w:t>
      </w:r>
    </w:p>
    <w:p>
      <w:pPr>
        <w:numPr>
          <w:ilvl w:val="0"/>
          <w:numId w:val="1007"/>
        </w:numPr>
        <w:pStyle w:val="Compact"/>
      </w:pPr>
      <w:r>
        <w:rPr>
          <w:iCs/>
          <w:i/>
        </w:rPr>
        <w:t xml:space="preserve">Social Impact:</w:t>
      </w:r>
      <w:r>
        <w:t xml:space="preserve"> </w:t>
      </w:r>
      <w:r>
        <w:t xml:space="preserve">Empowers retail investors in Malaysia through improved transparency of analyst-driven market signals, fostering greater financial inclusion in</w:t>
      </w:r>
      <w:r>
        <w:t xml:space="preserve"> </w:t>
      </w:r>
      <w:r>
        <w:rPr>
          <w:bCs/>
          <w:b/>
        </w:rPr>
        <w:t xml:space="preserve">Malaysia Kuala Lumpur</w:t>
      </w:r>
      <w:r>
        <w:t xml:space="preserve">.</w:t>
      </w:r>
    </w:p>
    <w:bookmarkEnd w:id="27"/>
    <w:bookmarkStart w:id="28" w:name="timeline-6-month-project"/>
    <w:p>
      <w:pPr>
        <w:pStyle w:val="Heading2"/>
      </w:pPr>
      <w:r>
        <w:t xml:space="preserve">7. Timeline (6-Month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1-2</w:t>
            </w:r>
          </w:p>
        </w:tc>
        <w:tc>
          <w:tcPr/>
          <w:p>
            <w:pPr>
              <w:pStyle w:val="Compact"/>
              <w:jc w:val="left"/>
            </w:pPr>
            <w:r>
              <w:t xml:space="preserve">Literature review; ethics approval; data protocol finalization (KL-based sources)</w:t>
            </w:r>
          </w:p>
        </w:tc>
      </w:tr>
      <w:tr>
        <w:tc>
          <w:tcPr/>
          <w:p>
            <w:pPr>
              <w:pStyle w:val="Compact"/>
              <w:jc w:val="left"/>
            </w:pPr>
            <w:r>
              <w:t xml:space="preserve">3</w:t>
            </w:r>
          </w:p>
        </w:tc>
        <w:tc>
          <w:tcPr/>
          <w:p>
            <w:pPr>
              <w:pStyle w:val="Compact"/>
              <w:jc w:val="left"/>
            </w:pPr>
            <w:r>
              <w:t xml:space="preserve">Quantitative data collection: Bursa Malaysia, analyst report archives</w:t>
            </w:r>
          </w:p>
        </w:tc>
      </w:tr>
      <w:tr>
        <w:tc>
          <w:tcPr/>
          <w:p>
            <w:pPr>
              <w:pStyle w:val="Compact"/>
              <w:jc w:val="left"/>
            </w:pPr>
            <w:r>
              <w:t xml:space="preserve">4</w:t>
            </w:r>
          </w:p>
        </w:tc>
        <w:tc>
          <w:tcPr/>
          <w:p>
            <w:pPr>
              <w:pStyle w:val="Compact"/>
              <w:jc w:val="left"/>
            </w:pPr>
            <w:r>
              <w:t xml:space="preserve">Fieldwork: Conduct interviews with KL-based Financial Analysts &amp; SC officials</w:t>
            </w:r>
          </w:p>
        </w:tc>
      </w:tr>
      <w:tr>
        <w:tc>
          <w:tcPr/>
          <w:p>
            <w:pPr>
              <w:pStyle w:val="Compact"/>
              <w:jc w:val="left"/>
            </w:pPr>
            <w:r>
              <w:t xml:space="preserve">5-6</w:t>
            </w:r>
          </w:p>
        </w:tc>
        <w:tc>
          <w:tcPr/>
          <w:p>
            <w:pPr>
              <w:pStyle w:val="Compact"/>
              <w:jc w:val="left"/>
            </w:pPr>
            <w:r>
              <w:t xml:space="preserve">Data analysis; draft thesis writing; stakeholder feedback (KL financial institutions)</w:t>
            </w:r>
          </w:p>
        </w:tc>
      </w:tr>
    </w:tbl>
    <w:bookmarkEnd w:id="28"/>
    <w:bookmarkStart w:id="29" w:name="conclusion"/>
    <w:p>
      <w:pPr>
        <w:pStyle w:val="Heading2"/>
      </w:pPr>
      <w:r>
        <w:t xml:space="preserve">8. Conclusion</w:t>
      </w:r>
    </w:p>
    <w:p>
      <w:pPr>
        <w:pStyle w:val="FirstParagraph"/>
      </w:pPr>
      <w:r>
        <w:t xml:space="preserve">The strategic importance of Financial Analysts to Malaysia's economic trajectory—particularly in Kuala Lumpur as the nation's financial nerve center—cannot be overstated. This thesis proposal outlines a targeted investigation into how these professionals operate within KL's distinctive market environment, addressing critical gaps left by generalized global studies. By grounding research in real-world</w:t>
      </w:r>
      <w:r>
        <w:t xml:space="preserve"> </w:t>
      </w:r>
      <w:r>
        <w:rPr>
          <w:bCs/>
          <w:b/>
        </w:rPr>
        <w:t xml:space="preserve">Malaysia Kuala Lumpur</w:t>
      </w:r>
      <w:r>
        <w:t xml:space="preserve"> </w:t>
      </w:r>
      <w:r>
        <w:t xml:space="preserve">conditions—from regulatory nuances to cultural dynamics—the study promises not only academic rigor but also immediate practical value for the nation's capital market ecosystem. The findings will empower regulators to foster more efficient markets, equip Financial Analysts with context-specific tools, and ultimately strengthen Malaysia's position as a premier investment destination in Southeast Asia. As KL continues its journey toward becoming a top 5 ASEAN financial hub, understanding the role of its Financial Analysts is no longer optional—it is fundamental to sustainable growth.</w:t>
      </w:r>
    </w:p>
    <w:bookmarkEnd w:id="29"/>
    <w:bookmarkStart w:id="30" w:name="references-selected"/>
    <w:p>
      <w:pPr>
        <w:pStyle w:val="Heading2"/>
      </w:pPr>
      <w:r>
        <w:t xml:space="preserve">References (Selected)</w:t>
      </w:r>
    </w:p>
    <w:p>
      <w:pPr>
        <w:pStyle w:val="FirstParagraph"/>
      </w:pPr>
      <w:r>
        <w:t xml:space="preserve">Abdullah, S., &amp; Ismail, A. (2019).</w:t>
      </w:r>
      <w:r>
        <w:t xml:space="preserve"> </w:t>
      </w:r>
      <w:r>
        <w:rPr>
          <w:iCs/>
          <w:i/>
        </w:rPr>
        <w:t xml:space="preserve">Analyst Forecast Accuracy in Emerging Markets: Evidence from Malaysia</w:t>
      </w:r>
      <w:r>
        <w:t xml:space="preserve">. Journal of Asian Finance, Economics and Business.</w:t>
      </w:r>
    </w:p>
    <w:p>
      <w:pPr>
        <w:pStyle w:val="BodyText"/>
      </w:pPr>
      <w:r>
        <w:t xml:space="preserve">Securities Commission Malaysia. (2023). *Annual Report 2023: Capital Market Development*. Kuala Lumpur.</w:t>
      </w:r>
    </w:p>
    <w:p>
      <w:pPr>
        <w:pStyle w:val="BodyText"/>
      </w:pPr>
      <w:r>
        <w:t xml:space="preserve">Tan, K., et al. (2021). *Financial Analysts in ASEAN: A Comparative Study*. Asian Journal of Finance &amp; Accounting.</w:t>
      </w:r>
    </w:p>
    <w:p>
      <w:pPr>
        <w:pStyle w:val="BodyText"/>
      </w:pPr>
      <w:r>
        <w:t xml:space="preserve">Li, M., &amp; Liu, C. (2020). *Analyst Recommendations and Market Efficiency*. Journal of Financial Economics.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Financial Analysts in Malaysia Kuala Lumpur's Capital Market</dc:title>
  <dc:creator/>
  <dc:language>en</dc:language>
  <cp:keywords/>
  <dcterms:created xsi:type="dcterms:W3CDTF">2026-07-23T16:02:07Z</dcterms:created>
  <dcterms:modified xsi:type="dcterms:W3CDTF">2026-07-23T16:02:07Z</dcterms:modified>
</cp:coreProperties>
</file>

<file path=docProps/custom.xml><?xml version="1.0" encoding="utf-8"?>
<Properties xmlns="http://schemas.openxmlformats.org/officeDocument/2006/custom-properties" xmlns:vt="http://schemas.openxmlformats.org/officeDocument/2006/docPropsVTypes"/>
</file>