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Financial</w:t>
      </w:r>
      <w:r>
        <w:t xml:space="preserve"> </w:t>
      </w:r>
      <w:r>
        <w:t xml:space="preserve">Ecosystem</w:t>
      </w:r>
    </w:p>
    <w:bookmarkStart w:id="29" w:name="X760f3b283733114f2ac30dc08ad17dc0aa874ee"/>
    <w:p>
      <w:pPr>
        <w:pStyle w:val="Heading1"/>
      </w:pPr>
      <w:r>
        <w:t xml:space="preserve">Thesis Proposal: The Evolving Role of Financial Analysts in the Netherlands Amsterdam Financial Ecosystem</w:t>
      </w:r>
    </w:p>
    <w:bookmarkStart w:id="20" w:name="introduction"/>
    <w:p>
      <w:pPr>
        <w:pStyle w:val="Heading2"/>
      </w:pPr>
      <w:r>
        <w:t xml:space="preserve">1. Introduction</w:t>
      </w:r>
    </w:p>
    <w:p>
      <w:pPr>
        <w:pStyle w:val="FirstParagraph"/>
      </w:pPr>
      <w:r>
        <w:t xml:space="preserve">The financial services sector stands as a cornerstone of the Dutch economy, with Amsterdam serving as the primary hub for Europe's second-largest financial center. As a global leader in sustainable finance and cross-border capital markets, the Netherlands Amsterdam ecosystem demands sophisticated analytical capabilities from Financial Analysts operating within its dynamic environment. This Thesis Proposal outlines research into how the role of Financial Analysts is evolving in response to regulatory shifts, technological disruption, and the unique economic landscape of Netherlands Amsterdam. With institutions like Euronext, ING Group, and numerous fintech startups concentrated in Amsterdam, understanding this transformation is critical for both academic scholarship and industry practice.</w:t>
      </w:r>
    </w:p>
    <w:bookmarkEnd w:id="20"/>
    <w:bookmarkStart w:id="21" w:name="problem-statement"/>
    <w:p>
      <w:pPr>
        <w:pStyle w:val="Heading2"/>
      </w:pPr>
      <w:r>
        <w:t xml:space="preserve">2. Problem Statement</w:t>
      </w:r>
    </w:p>
    <w:p>
      <w:pPr>
        <w:pStyle w:val="FirstParagraph"/>
      </w:pPr>
      <w:r>
        <w:t xml:space="preserve">Despite Amsterdam's prominence as a financial capital within the European Union, there remains a significant gap in empirical research examining how Financial Analysts adapt to three interconnected challenges: (1) the accelerated implementation of EU Sustainable Finance Disclosure Regulation (SFDR), (2) the integration of AI-driven analytics into traditional valuation frameworks, and (3) Amsterdam's strategic position as a gateway for international capital flows following Brexit. Current literature largely focuses on London or Frankfurt, neglecting Netherlands Amsterdam's distinct regulatory sandbox and collaborative ecosystem. This research addresses the urgent need to map how Financial Analysts in this specific context develop new competencies while navigating complex stakeholder expectations—from Dutch pension funds to ASEAN-based multinationals using Amsterdam as a European base.</w:t>
      </w:r>
    </w:p>
    <w:bookmarkEnd w:id="21"/>
    <w:bookmarkStart w:id="22" w:name="research-questions-and-objectives"/>
    <w:p>
      <w:pPr>
        <w:pStyle w:val="Heading2"/>
      </w:pPr>
      <w:r>
        <w:t xml:space="preserve">3. Research Questions and Objectives</w:t>
      </w:r>
    </w:p>
    <w:p>
      <w:pPr>
        <w:pStyle w:val="FirstParagraph"/>
      </w:pPr>
      <w:r>
        <w:t xml:space="preserve">This study proposes the following central research questions:</w:t>
      </w:r>
    </w:p>
    <w:p>
      <w:pPr>
        <w:numPr>
          <w:ilvl w:val="0"/>
          <w:numId w:val="1001"/>
        </w:numPr>
        <w:pStyle w:val="Compact"/>
      </w:pPr>
      <w:r>
        <w:t xml:space="preserve">How do Financial Analysts in Netherlands Amsterdam reconcile traditional financial modeling with emerging sustainability metrics under SFDR compliance?</w:t>
      </w:r>
    </w:p>
    <w:p>
      <w:pPr>
        <w:numPr>
          <w:ilvl w:val="0"/>
          <w:numId w:val="1001"/>
        </w:numPr>
        <w:pStyle w:val="Compact"/>
      </w:pPr>
      <w:r>
        <w:t xml:space="preserve">To what extent are AI tools reshaping analytical workflows, and what new skillsets are required for Financial Analysts to maintain credibility in Amsterdam's market?</w:t>
      </w:r>
    </w:p>
    <w:p>
      <w:pPr>
        <w:numPr>
          <w:ilvl w:val="0"/>
          <w:numId w:val="1001"/>
        </w:numPr>
        <w:pStyle w:val="Compact"/>
      </w:pPr>
      <w:r>
        <w:t xml:space="preserve">In what ways does Amsterdam's unique position as a post-Brexit financial gateway influence the strategic priorities of Financial Analysts at multinational firms?</w:t>
      </w:r>
    </w:p>
    <w:p>
      <w:pPr>
        <w:pStyle w:val="FirstParagraph"/>
      </w:pPr>
      <w:r>
        <w:t xml:space="preserve">The primary objectives are: (1) To develop a competency framework for Financial Analysts operating within Netherlands Amsterdam; (2) To identify sector-specific analytical challenges across banking, asset management, and fintech in Amsterdam; and (3) To propose evidence-based recommendations for academic curricula and industry training programs tailored to the Dutch financial ecosystem.</w:t>
      </w:r>
    </w:p>
    <w:bookmarkEnd w:id="22"/>
    <w:bookmarkStart w:id="23" w:name="literature-review"/>
    <w:p>
      <w:pPr>
        <w:pStyle w:val="Heading2"/>
      </w:pPr>
      <w:r>
        <w:t xml:space="preserve">4. Literature Review</w:t>
      </w:r>
    </w:p>
    <w:p>
      <w:pPr>
        <w:pStyle w:val="FirstParagraph"/>
      </w:pPr>
      <w:r>
        <w:t xml:space="preserve">Existing scholarship on Financial Analysts primarily examines U.S. markets or generic EU trends (e.g., Koller et al., 2019; Fahlenbrach &amp; Schweitzer, 2018). However, Amsterdam presents distinctive features: its "Green Finance" leadership (Netherlands is Europe's top sustainable bond market), dense cluster of impact investors (like Triodos Bank), and the Amsterdam Metropolitan Area’s regulatory innovation. Recent studies by the Dutch Central Bank (De Nederlandsche Bank) acknowledge skills gaps in ESG analysis but lack granularity on Amsterdam-specific practices. This research bridges that gap by situating Financial Analyst evolution within Netherlands Amsterdam's institutional context, where 40% of EU sustainability-linked loans originate and 67% of European fintech hubs are based (Amsterdam Economic Board, 2023).</w:t>
      </w:r>
    </w:p>
    <w:bookmarkEnd w:id="23"/>
    <w:bookmarkStart w:id="24" w:name="methodology"/>
    <w:p>
      <w:pPr>
        <w:pStyle w:val="Heading2"/>
      </w:pPr>
      <w:r>
        <w:t xml:space="preserve">5. Methodology</w:t>
      </w:r>
    </w:p>
    <w:p>
      <w:pPr>
        <w:pStyle w:val="FirstParagraph"/>
      </w:pPr>
      <w:r>
        <w:t xml:space="preserve">A mixed-methods approach will be employed over a 15-month period:</w:t>
      </w:r>
    </w:p>
    <w:p>
      <w:pPr>
        <w:numPr>
          <w:ilvl w:val="0"/>
          <w:numId w:val="1002"/>
        </w:numPr>
        <w:pStyle w:val="Compact"/>
      </w:pPr>
      <w:r>
        <w:rPr>
          <w:bCs/>
          <w:b/>
        </w:rPr>
        <w:t xml:space="preserve">Phase 1: Qualitative Analysis (Months 1-6)</w:t>
      </w:r>
      <w:r>
        <w:t xml:space="preserve">: Semi-structured interviews with 30+ Financial Analysts at key Amsterdam institutions (e.g., ABN AMRO, Robeco, and emerging climate tech firms), supplemented by document analysis of internal analytical frameworks.</w:t>
      </w:r>
    </w:p>
    <w:p>
      <w:pPr>
        <w:numPr>
          <w:ilvl w:val="0"/>
          <w:numId w:val="1002"/>
        </w:numPr>
        <w:pStyle w:val="Compact"/>
      </w:pPr>
      <w:r>
        <w:rPr>
          <w:bCs/>
          <w:b/>
        </w:rPr>
        <w:t xml:space="preserve">Phase 2: Quantitative Survey (Months 7-10)</w:t>
      </w:r>
      <w:r>
        <w:t xml:space="preserve">: Structured questionnaire distributed to 200 Financial Analysts across Netherlands Amsterdam’s financial sector (target response rate: 65%), measuring competencies, tool usage, and perceived regulatory pressures.</w:t>
      </w:r>
    </w:p>
    <w:p>
      <w:pPr>
        <w:numPr>
          <w:ilvl w:val="0"/>
          <w:numId w:val="1002"/>
        </w:numPr>
        <w:pStyle w:val="Compact"/>
      </w:pPr>
      <w:r>
        <w:rPr>
          <w:bCs/>
          <w:b/>
        </w:rPr>
        <w:t xml:space="preserve">Phase 3: Comparative Case Studies (Months 11-14)</w:t>
      </w:r>
      <w:r>
        <w:t xml:space="preserve">: In-depth analysis of two contrasting firms—a traditional bank adapting to SFDR and a fintech startup leveraging AI for ESG analytics—to identify best practices in Netherlands Amsterdam.</w:t>
      </w:r>
    </w:p>
    <w:p>
      <w:pPr>
        <w:pStyle w:val="FirstParagraph"/>
      </w:pPr>
      <w:r>
        <w:t xml:space="preserve">Data will be analyzed using thematic coding (Phase 1), regression modeling (Phase 2), and pattern matching (Phase 3). Ethical approval will be sought from the University of Amsterdam's IRB, with all participant data anonymized per Dutch GDPR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 for Financial Analysts</w:t>
      </w:r>
      <w:r>
        <w:t xml:space="preserve">: A validated "Amsterdam Analytical Competency Matrix" integrating ESG analytics, AI literacy, and cross-border regulatory navigation—directly applicable to firms operating in Netherlands Amsterdam. This will address the Dutch Association of Financial Professionals' 2023 report identifying a 45% skills deficit in sustainable analysis.</w:t>
      </w:r>
    </w:p>
    <w:p>
      <w:pPr>
        <w:numPr>
          <w:ilvl w:val="0"/>
          <w:numId w:val="1003"/>
        </w:numPr>
        <w:pStyle w:val="Compact"/>
      </w:pPr>
      <w:r>
        <w:rPr>
          <w:bCs/>
          <w:b/>
        </w:rPr>
        <w:t xml:space="preserve">Policy Recommendations</w:t>
      </w:r>
      <w:r>
        <w:t xml:space="preserve">: Evidence-based suggestions for the Netherlands Authority for the Financial Markets (AFM) on harmonizing SFDR implementation with Amsterdam's innovation ecosystem, potentially influencing EU-wide guidance.</w:t>
      </w:r>
    </w:p>
    <w:p>
      <w:pPr>
        <w:numPr>
          <w:ilvl w:val="0"/>
          <w:numId w:val="1003"/>
        </w:numPr>
        <w:pStyle w:val="Compact"/>
      </w:pPr>
      <w:r>
        <w:rPr>
          <w:bCs/>
          <w:b/>
        </w:rPr>
        <w:t xml:space="preserve">Academic Contribution</w:t>
      </w:r>
      <w:r>
        <w:t xml:space="preserve">: A theoretically grounded model of "contextualized financial analysis" that challenges universalist approaches to analyst roles, advancing studies of financial globalization through a Dutch lens. Findings will be published in journals like</w:t>
      </w:r>
      <w:r>
        <w:t xml:space="preserve"> </w:t>
      </w:r>
      <w:r>
        <w:rPr>
          <w:iCs/>
          <w:i/>
        </w:rPr>
        <w:t xml:space="preserve">Journal of International Financial Management &amp; Accounting</w:t>
      </w:r>
      <w:r>
        <w:t xml:space="preserve">.</w:t>
      </w:r>
    </w:p>
    <w:p>
      <w:pPr>
        <w:pStyle w:val="FirstParagraph"/>
      </w:pPr>
      <w:r>
        <w:t xml:space="preserve">The significance extends beyond academia: Amsterdam's city council has prioritized "financial innovation" in its 2030 strategy, making this research vital for attracting capital to the Netherlands. By mapping how Financial Analysts drive value in this ecosystem, the study supports Netherlands Amsterdam’s ambition to lead Europe’s $5T sustainable finance market.</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 1-2</w:t>
      </w:r>
    </w:p>
    <w:p>
      <w:pPr>
        <w:pStyle w:val="BodyText"/>
      </w:pPr>
      <w:r>
        <w:t xml:space="preserve">Proposal approval, ethical clearance, interview protocols</w:t>
      </w:r>
    </w:p>
    <w:p>
      <w:pPr>
        <w:pStyle w:val="BodyText"/>
      </w:pPr>
      <w:r>
        <w:t xml:space="preserve">Data Collection: Interviews &amp; Survey Deployment</w:t>
      </w:r>
    </w:p>
    <w:p>
      <w:pPr>
        <w:pStyle w:val="BodyText"/>
      </w:pPr>
      <w:r>
        <w:t xml:space="preserve">Month 3-10</w:t>
      </w:r>
    </w:p>
    <w:p>
      <w:pPr>
        <w:pStyle w:val="BodyText"/>
      </w:pPr>
      <w:r>
        <w:t xml:space="preserve">&lt;</w:t>
      </w:r>
    </w:p>
    <w:p>
      <w:pPr>
        <w:pStyle w:val="BodyText"/>
      </w:pPr>
      <w:r>
        <w:t xml:space="preserve">Interview transcripts, survey dataset (N=200)</w:t>
      </w:r>
    </w:p>
    <w:p>
      <w:pPr>
        <w:pStyle w:val="BodyText"/>
      </w:pPr>
      <w:r>
        <w:t xml:space="preserve">Data Analysis &amp; Case Studies</w:t>
      </w:r>
    </w:p>
    <w:p>
      <w:pPr>
        <w:pStyle w:val="BodyText"/>
      </w:pPr>
      <w:r>
        <w:t xml:space="preserve">Month 11-14</w:t>
      </w:r>
    </w:p>
    <w:p>
      <w:pPr>
        <w:pStyle w:val="BodyText"/>
      </w:pPr>
      <w:r>
        <w:t xml:space="preserve">Analytical frameworks, comparative case reports</w:t>
      </w:r>
    </w:p>
    <w:p>
      <w:pPr>
        <w:pStyle w:val="BodyText"/>
      </w:pPr>
      <w:r>
        <w:t xml:space="preserve">Dissertation Writing &amp; Validation Workshop</w:t>
      </w:r>
    </w:p>
    <w:p>
      <w:pPr>
        <w:pStyle w:val="BodyText"/>
      </w:pPr>
      <w:r>
        <w:t xml:space="preserve">Month 15</w:t>
      </w:r>
    </w:p>
    <w:p>
      <w:pPr>
        <w:pStyle w:val="BodyText"/>
      </w:pPr>
      <w:r>
        <w:t xml:space="preserve">Total Duration:</w:t>
      </w:r>
    </w:p>
    <w:p>
      <w:pPr>
        <w:pStyle w:val="BodyText"/>
      </w:pPr>
      <w:r>
        <w:t xml:space="preserve">15 Months (including final submission)</w:t>
      </w:r>
    </w:p>
    <w:bookmarkEnd w:id="26"/>
    <w:bookmarkStart w:id="27" w:name="conclusion"/>
    <w:p>
      <w:pPr>
        <w:pStyle w:val="Heading2"/>
      </w:pPr>
      <w:r>
        <w:t xml:space="preserve">8. Conclusion</w:t>
      </w:r>
    </w:p>
    <w:p>
      <w:pPr>
        <w:pStyle w:val="FirstParagraph"/>
      </w:pPr>
      <w:r>
        <w:t xml:space="preserve">This Thesis Proposal addresses a critical gap in understanding how Financial Analysts operate within the specialized ecosystem of Netherlands Amsterdam—a city where finance intersects with sustainability, technology, and European integration like no other location. As the financial landscape evolves under EU regulation and climate imperatives, this research will provide actionable insights for practitioners navigating Amsterdam's market while contributing to global scholarship on financial analysis in contextually rich environments. The findings promise to strengthen the Netherlands' position as a leader in innovative finance by ensuring its Financial Analysts possess the precise skills required for Amsterdam’s next decade of growth. With 28% of Europe’s top investment firms headquartered in Netherlands Amsterdam (European Financial Services Council, 2023), this study directly supports both academic excellence and the economic vitality of one of Europe's most dynamic financial centers.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the Netherlands Amsterdam Financial Ecosystem</dc:title>
  <dc:creator/>
  <dc:language>en</dc:language>
  <cp:keywords/>
  <dcterms:created xsi:type="dcterms:W3CDTF">2025-12-10T20:39:58Z</dcterms:created>
  <dcterms:modified xsi:type="dcterms:W3CDTF">2025-12-10T20:39:58Z</dcterms:modified>
</cp:coreProperties>
</file>

<file path=docProps/custom.xml><?xml version="1.0" encoding="utf-8"?>
<Properties xmlns="http://schemas.openxmlformats.org/officeDocument/2006/custom-properties" xmlns:vt="http://schemas.openxmlformats.org/officeDocument/2006/docPropsVTypes"/>
</file>