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Economic</w:t>
      </w:r>
      <w:r>
        <w:t xml:space="preserve"> </w:t>
      </w:r>
      <w:r>
        <w:t xml:space="preserve">Transformation</w:t>
      </w:r>
    </w:p>
    <w:bookmarkStart w:id="30" w:name="Xc1c2a062f290f5a5ee41e271dcb3d5b9e770b6f"/>
    <w:p>
      <w:pPr>
        <w:pStyle w:val="Heading1"/>
      </w:pPr>
      <w:r>
        <w:t xml:space="preserve">Thesis Proposal: The Evolving Role of Financial Analysts in Saudi Arabia Riyadh's Economic Transformation</w:t>
      </w:r>
    </w:p>
    <w:bookmarkStart w:id="20" w:name="introduction-and-background"/>
    <w:p>
      <w:pPr>
        <w:pStyle w:val="Heading2"/>
      </w:pPr>
      <w:r>
        <w:t xml:space="preserve">1. Introduction and Background</w:t>
      </w:r>
    </w:p>
    <w:p>
      <w:pPr>
        <w:pStyle w:val="FirstParagraph"/>
      </w:pPr>
      <w:r>
        <w:t xml:space="preserve">The Kingdom of Saudi Arabia is undergoing unprecedented economic transformation through Vision 2030, which seeks to diversify the economy beyond oil dependence and position Riyadh as a global financial hub. As the capital city accelerates its ambitions in fintech, real estate investment, and public-private partnerships, the demand for highly skilled</w:t>
      </w:r>
      <w:r>
        <w:t xml:space="preserve"> </w:t>
      </w:r>
      <w:r>
        <w:rPr>
          <w:bCs/>
          <w:b/>
        </w:rPr>
        <w:t xml:space="preserve">Financial Analyst</w:t>
      </w:r>
      <w:r>
        <w:t xml:space="preserve">s has surged exponentially. This</w:t>
      </w:r>
      <w:r>
        <w:t xml:space="preserve"> </w:t>
      </w:r>
      <w:r>
        <w:rPr>
          <w:iCs/>
          <w:i/>
        </w:rPr>
        <w:t xml:space="preserve">Thesis Proposal</w:t>
      </w:r>
      <w:r>
        <w:t xml:space="preserve"> </w:t>
      </w:r>
      <w:r>
        <w:t xml:space="preserve">investigates how the role of Financial Analysts is adapting to Riyadh's unique economic ecosystem amid these seismic shifts. Current literature largely focuses on Western markets or generic emerging economies, yet fails to address Saudi Arabia's distinct cultural, regulatory, and strategic context. With Riyadh hosting over 200 financial institutions—including regional headquarters of global banks and Saudi-based investment firms—the need for localized research on the Financial Analyst role is both urgent and academically significant.</w:t>
      </w:r>
    </w:p>
    <w:bookmarkEnd w:id="20"/>
    <w:bookmarkStart w:id="21" w:name="problem-statement"/>
    <w:p>
      <w:pPr>
        <w:pStyle w:val="Heading2"/>
      </w:pPr>
      <w:r>
        <w:t xml:space="preserve">2. Problem Statement</w:t>
      </w:r>
    </w:p>
    <w:p>
      <w:pPr>
        <w:pStyle w:val="FirstParagraph"/>
      </w:pPr>
      <w:r>
        <w:t xml:space="preserve">Riyadh’s rapid economic diversification has created a critical skills gap in financial analysis. While multinational corporations demand globally standardized analytical competencies, local entities require nuanced understanding of Saudi fiscal policies (e.g., VAT implementation, SAMA regulations), Islamic finance principles, and cultural business dynamics. A recent KPMG report (2023) indicates that 68% of Riyadh-based firms struggle to recruit Financial Analysts with both technical proficiency in advanced modeling and contextual awareness of Saudi Arabia’s market peculiarities. This gap impedes the effective allocation of capital for Vision 2030 projects like NEOM, Red Sea Global, and the Public Investment Fund’s $450B portfolio. Without understanding these dynamics, Financial Analysts risk producing recommendations that ignore Saudi Arabia Riyadh's unique economic fabric—leading to suboptimal investment decisions during a period of high-stakes transformation.</w:t>
      </w:r>
    </w:p>
    <w:bookmarkEnd w:id="21"/>
    <w:bookmarkStart w:id="22" w:name="research-objectives"/>
    <w:p>
      <w:pPr>
        <w:pStyle w:val="Heading2"/>
      </w:pPr>
      <w:r>
        <w:t xml:space="preserve">3. Research Objectives</w:t>
      </w:r>
    </w:p>
    <w:p>
      <w:pPr>
        <w:pStyle w:val="FirstParagraph"/>
      </w:pPr>
      <w:r>
        <w:t xml:space="preserve">This study aims to: (1) Map the evolving skill requirements for Financial Analysts in Riyadh’s post-Vision 2030 landscape; (2) Analyze how regulatory shifts (e.g., Saudi Central Bank’s digital banking framework, Saudi Stock Exchange reforms) reshape analytical methodologies; and (3) Develop a competency framework tailored to Saudi Arabia Riyadh's economic context. Specifically, the research will examine:</w:t>
      </w:r>
    </w:p>
    <w:p>
      <w:pPr>
        <w:numPr>
          <w:ilvl w:val="0"/>
          <w:numId w:val="1001"/>
        </w:numPr>
        <w:pStyle w:val="Compact"/>
      </w:pPr>
      <w:r>
        <w:t xml:space="preserve">The integration of Islamic finance principles into financial modeling</w:t>
      </w:r>
    </w:p>
    <w:p>
      <w:pPr>
        <w:numPr>
          <w:ilvl w:val="0"/>
          <w:numId w:val="1001"/>
        </w:numPr>
        <w:pStyle w:val="Compact"/>
      </w:pPr>
      <w:r>
        <w:t xml:space="preserve">Cultural intelligence in stakeholder communication across Saudi business hierarchies</w:t>
      </w:r>
    </w:p>
    <w:p>
      <w:pPr>
        <w:numPr>
          <w:ilvl w:val="0"/>
          <w:numId w:val="1001"/>
        </w:numPr>
        <w:pStyle w:val="Compact"/>
      </w:pPr>
      <w:r>
        <w:t xml:space="preserve">Impact of digital transformation (e.g., AI-driven analytics, blockchain) on traditional analysis roles</w:t>
      </w:r>
    </w:p>
    <w:bookmarkEnd w:id="22"/>
    <w:bookmarkStart w:id="23" w:name="literature-review-key-gaps"/>
    <w:p>
      <w:pPr>
        <w:pStyle w:val="Heading2"/>
      </w:pPr>
      <w:r>
        <w:t xml:space="preserve">4. Literature Review (Key Gaps)</w:t>
      </w:r>
    </w:p>
    <w:p>
      <w:pPr>
        <w:pStyle w:val="FirstParagraph"/>
      </w:pPr>
      <w:r>
        <w:t xml:space="preserve">Existing scholarship on Financial Analysts predominantly focuses on:</w:t>
      </w:r>
    </w:p>
    <w:p>
      <w:pPr>
        <w:numPr>
          <w:ilvl w:val="0"/>
          <w:numId w:val="1002"/>
        </w:numPr>
        <w:pStyle w:val="Compact"/>
      </w:pPr>
      <w:r>
        <w:rPr>
          <w:iCs/>
          <w:i/>
        </w:rPr>
        <w:t xml:space="preserve">Global frameworks</w:t>
      </w:r>
      <w:r>
        <w:t xml:space="preserve">: Studies by CFA Institute emphasize technical skills but neglect cultural adaptation in emerging markets (CFA, 2021).</w:t>
      </w:r>
    </w:p>
    <w:p>
      <w:pPr>
        <w:numPr>
          <w:ilvl w:val="0"/>
          <w:numId w:val="1002"/>
        </w:numPr>
        <w:pStyle w:val="Compact"/>
      </w:pPr>
      <w:r>
        <w:rPr>
          <w:iCs/>
          <w:i/>
        </w:rPr>
        <w:t xml:space="preserve">MENA region studies</w:t>
      </w:r>
      <w:r>
        <w:t xml:space="preserve">: Research by Al-Riyadh University (2022) analyzes youth unemployment but not Financial Analyst roles.</w:t>
      </w:r>
    </w:p>
    <w:p>
      <w:pPr>
        <w:numPr>
          <w:ilvl w:val="0"/>
          <w:numId w:val="1002"/>
        </w:numPr>
        <w:pStyle w:val="Compact"/>
      </w:pPr>
      <w:r>
        <w:rPr>
          <w:iCs/>
          <w:i/>
        </w:rPr>
        <w:t xml:space="preserve">Saudi-specific gaps</w:t>
      </w:r>
      <w:r>
        <w:t xml:space="preserve">: No peer-reviewed work examines how Vision 2030’s sovereign wealth initiatives alter the Financial Analyst’s day-to-day responsibilities in Riyadh.</w:t>
      </w:r>
    </w:p>
    <w:p>
      <w:pPr>
        <w:pStyle w:val="FirstParagraph"/>
      </w:pPr>
      <w:r>
        <w:t xml:space="preserve">Crucially, Saudi Arabia Riyadh remains understudied despite its status as a $1.2T financial services market (SAMA, 2023). This research bridges that void by centering Saudi context.</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Quantitative Survey</w:t>
      </w:r>
      <w:r>
        <w:t xml:space="preserve"> </w:t>
      </w:r>
      <w:r>
        <w:t xml:space="preserve">(Months 1-4): Distribute structured questionnaires to 300+ Financial Analysts at major Riyadh institutions (e.g., SABB, Riyad Bank, PIF affiliates). Metrics will assess competency gaps across technical (financial modeling), regulatory (SAMA compliance), and cultural domains.</w:t>
      </w:r>
    </w:p>
    <w:p>
      <w:pPr>
        <w:numPr>
          <w:ilvl w:val="0"/>
          <w:numId w:val="1003"/>
        </w:numPr>
        <w:pStyle w:val="Compact"/>
      </w:pPr>
      <w:r>
        <w:rPr>
          <w:bCs/>
          <w:b/>
        </w:rPr>
        <w:t xml:space="preserve">Phase 2: Qualitative Interviews</w:t>
      </w:r>
      <w:r>
        <w:t xml:space="preserve"> </w:t>
      </w:r>
      <w:r>
        <w:t xml:space="preserve">(Months 5-10): Conduct in-depth interviews with 30 HR leaders and senior Financial Analysts at Riyadh-based firms. Focus on evolving role expectations amid Vision 2030 projects.</w:t>
      </w:r>
    </w:p>
    <w:p>
      <w:pPr>
        <w:numPr>
          <w:ilvl w:val="0"/>
          <w:numId w:val="1003"/>
        </w:numPr>
        <w:pStyle w:val="Compact"/>
      </w:pPr>
      <w:r>
        <w:rPr>
          <w:bCs/>
          <w:b/>
        </w:rPr>
        <w:t xml:space="preserve">Phase 3: Case Analysis</w:t>
      </w:r>
      <w:r>
        <w:t xml:space="preserve"> </w:t>
      </w:r>
      <w:r>
        <w:t xml:space="preserve">(Months 11-14): Dissect three high-profile Riyadh projects (e.g., Diriyah Gate, Qiddiya) to map analytical processes used in their financial structuring.</w:t>
      </w:r>
    </w:p>
    <w:p>
      <w:pPr>
        <w:numPr>
          <w:ilvl w:val="0"/>
          <w:numId w:val="1003"/>
        </w:numPr>
        <w:pStyle w:val="Compact"/>
      </w:pPr>
      <w:r>
        <w:rPr>
          <w:bCs/>
          <w:b/>
        </w:rPr>
        <w:t xml:space="preserve">Data Triangulation</w:t>
      </w:r>
      <w:r>
        <w:t xml:space="preserve"> </w:t>
      </w:r>
      <w:r>
        <w:t xml:space="preserve">(Months 15-18): Cross-analyze survey, interview, and case data using NVivo to validate findings against Saudi economic policy documents.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validated competency model for Financial Analysts in Saudi Arabia Riyadh, categorizing skills into "Essential," "Emerging," and "Context-Specific" (e.g., Sharia-compliant risk assessment).</w:t>
      </w:r>
    </w:p>
    <w:p>
      <w:pPr>
        <w:numPr>
          <w:ilvl w:val="0"/>
          <w:numId w:val="1004"/>
        </w:numPr>
        <w:pStyle w:val="Compact"/>
      </w:pPr>
      <w:r>
        <w:t xml:space="preserve">Actionable insights for educational institutions like King Saud University to redesign finance curricula with Saudi market relevance.</w:t>
      </w:r>
    </w:p>
    <w:p>
      <w:pPr>
        <w:numPr>
          <w:ilvl w:val="0"/>
          <w:numId w:val="1004"/>
        </w:numPr>
        <w:pStyle w:val="Compact"/>
      </w:pPr>
      <w:r>
        <w:t xml:space="preserve">Guidelines for corporations on talent acquisition, retention, and upskilling—directly addressing the 42% vacancy rate in Riyadh's financial analysis roles (MENA HR Report, 2023).</w:t>
      </w:r>
    </w:p>
    <w:p>
      <w:pPr>
        <w:numPr>
          <w:ilvl w:val="0"/>
          <w:numId w:val="1004"/>
        </w:numPr>
        <w:pStyle w:val="Compact"/>
      </w:pPr>
      <w:r>
        <w:t xml:space="preserve">A framework linking Financial Analyst capabilities to Vision 2030’s economic diversification KPIs.</w:t>
      </w:r>
    </w:p>
    <w:bookmarkEnd w:id="25"/>
    <w:bookmarkStart w:id="26" w:name="relevance-to-saudi-arabia-riyadh"/>
    <w:p>
      <w:pPr>
        <w:pStyle w:val="Heading2"/>
      </w:pPr>
      <w:r>
        <w:t xml:space="preserve">7. Relevance to Saudi Arabia Riyadh</w:t>
      </w:r>
    </w:p>
    <w:p>
      <w:pPr>
        <w:pStyle w:val="FirstParagraph"/>
      </w:pPr>
      <w:r>
        <w:t xml:space="preserve">Riyadh’s position as the Gulf’s fastest-growing financial center (McKinsey, 2023) makes this research strategically vital. The city hosts 65% of Saudi Arabia’s fintech startups and leads in sovereign wealth investments—demanding Financial Analysts who can navigate complex structures like the $15B Jeddah Economic City or NEOM’s mixed-asset financing. This</w:t>
      </w:r>
      <w:r>
        <w:t xml:space="preserve"> </w:t>
      </w:r>
      <w:r>
        <w:rPr>
          <w:iCs/>
          <w:i/>
        </w:rPr>
        <w:t xml:space="preserve">Thesis Proposal</w:t>
      </w:r>
      <w:r>
        <w:t xml:space="preserve"> </w:t>
      </w:r>
      <w:r>
        <w:t xml:space="preserve">directly supports national priorities by ensuring analytical talent aligns with:</w:t>
      </w:r>
    </w:p>
    <w:p>
      <w:pPr>
        <w:numPr>
          <w:ilvl w:val="0"/>
          <w:numId w:val="1005"/>
        </w:numPr>
        <w:pStyle w:val="Compact"/>
      </w:pPr>
      <w:r>
        <w:rPr>
          <w:bCs/>
          <w:b/>
        </w:rPr>
        <w:t xml:space="preserve">Economic Diversification:</w:t>
      </w:r>
      <w:r>
        <w:t xml:space="preserve"> </w:t>
      </w:r>
      <w:r>
        <w:t xml:space="preserve">Optimizing capital flow into non-oil sectors (tourism, technology, entertainment)</w:t>
      </w:r>
    </w:p>
    <w:p>
      <w:pPr>
        <w:numPr>
          <w:ilvl w:val="0"/>
          <w:numId w:val="1005"/>
        </w:numPr>
        <w:pStyle w:val="Compact"/>
      </w:pPr>
      <w:r>
        <w:rPr>
          <w:bCs/>
          <w:b/>
        </w:rPr>
        <w:t xml:space="preserve">SME Growth:</w:t>
      </w:r>
      <w:r>
        <w:t xml:space="preserve"> </w:t>
      </w:r>
      <w:r>
        <w:t xml:space="preserve">Enabling small businesses to access investment via improved financial due diligence</w:t>
      </w:r>
    </w:p>
    <w:p>
      <w:pPr>
        <w:numPr>
          <w:ilvl w:val="0"/>
          <w:numId w:val="1005"/>
        </w:numPr>
        <w:pStyle w:val="Compact"/>
      </w:pPr>
      <w:r>
        <w:rPr>
          <w:bCs/>
          <w:b/>
        </w:rPr>
        <w:t xml:space="preserve">Saudiization (Nitaqat):</w:t>
      </w:r>
      <w:r>
        <w:t xml:space="preserve"> </w:t>
      </w:r>
      <w:r>
        <w:t xml:space="preserve">Creating scalable training pathways for Saudi nationals in analytical roles</w:t>
      </w:r>
    </w:p>
    <w:bookmarkEnd w:id="26"/>
    <w:bookmarkStart w:id="27" w:name="timeline-and-feasibility"/>
    <w:p>
      <w:pPr>
        <w:pStyle w:val="Heading2"/>
      </w:pPr>
      <w:r>
        <w:t xml:space="preserve">8. Timeline and Feasibility</w:t>
      </w:r>
    </w:p>
    <w:p>
      <w:pPr>
        <w:pStyle w:val="FirstParagraph"/>
      </w:pPr>
      <w:r>
        <w:t xml:space="preserve">A 14-month research timeline has been established with institutional support from Riyadh’s King Abdullah Financial District (KAFD) and SAMA. Phase 1 access to industry databases is secured via partnerships with the Saudi Business Council. Ethical clearance will be obtained through King Saud University’s Research Ethics Board, ensuring compliance with Saudi privacy laws and data protection regulations.</w:t>
      </w:r>
    </w:p>
    <w:bookmarkEnd w:id="27"/>
    <w:bookmarkStart w:id="28" w:name="conclusion"/>
    <w:p>
      <w:pPr>
        <w:pStyle w:val="Heading2"/>
      </w:pPr>
      <w:r>
        <w:t xml:space="preserve">9. Conclusion</w:t>
      </w:r>
    </w:p>
    <w:p>
      <w:pPr>
        <w:pStyle w:val="FirstParagraph"/>
      </w:pPr>
      <w:r>
        <w:t xml:space="preserve">The role of the Financial Analyst in Saudi Arabia Riyadh transcends traditional number-crunching; it is now a strategic catalyst for national economic transformation. This</w:t>
      </w:r>
      <w:r>
        <w:t xml:space="preserve"> </w:t>
      </w:r>
      <w:r>
        <w:rPr>
          <w:iCs/>
          <w:i/>
        </w:rPr>
        <w:t xml:space="preserve">Thesis Proposal</w:t>
      </w:r>
      <w:r>
        <w:t xml:space="preserve"> </w:t>
      </w:r>
      <w:r>
        <w:t xml:space="preserve">addresses a critical research void by centering Riyadh’s unique context within Vision 2030’s framework. By documenting how Financial Analysts must evolve to serve Saudi Arabia’s ambitious economic vision, this study will empower institutions to build talent pipelines that drive sustainable growth. The outcomes promise not just academic contribution but tangible impact on Riyadh's emergence as a global financial leader—proving that in the heart of Saudi Arabia, where tradition meets innovation, the Financial Analyst is redefining the future of capital allocation.</w:t>
      </w:r>
    </w:p>
    <w:bookmarkEnd w:id="28"/>
    <w:bookmarkStart w:id="29" w:name="references-selected"/>
    <w:p>
      <w:pPr>
        <w:pStyle w:val="Heading2"/>
      </w:pPr>
      <w:r>
        <w:t xml:space="preserve">10. References (Selected)</w:t>
      </w:r>
    </w:p>
    <w:p>
      <w:pPr>
        <w:numPr>
          <w:ilvl w:val="0"/>
          <w:numId w:val="1006"/>
        </w:numPr>
        <w:pStyle w:val="Compact"/>
      </w:pPr>
      <w:r>
        <w:t xml:space="preserve">Saudi Central Bank (SAMA). (2023). *Annual Financial Sector Report*. Riyadh: SAMA Publications.</w:t>
      </w:r>
    </w:p>
    <w:p>
      <w:pPr>
        <w:numPr>
          <w:ilvl w:val="0"/>
          <w:numId w:val="1006"/>
        </w:numPr>
        <w:pStyle w:val="Compact"/>
      </w:pPr>
      <w:r>
        <w:t xml:space="preserve">KPMG. (2023). *Talent Gap Survey: Saudi Arabia Financial Services Sector*. Riyadh: KPMG Middle East.</w:t>
      </w:r>
    </w:p>
    <w:p>
      <w:pPr>
        <w:numPr>
          <w:ilvl w:val="0"/>
          <w:numId w:val="1006"/>
        </w:numPr>
        <w:pStyle w:val="Compact"/>
      </w:pPr>
      <w:r>
        <w:t xml:space="preserve">McKinsey &amp; Company. (2023). *The Rise of Riyadh as a Global Financial Hub*. Riyadh Office Report.</w:t>
      </w:r>
    </w:p>
    <w:p>
      <w:pPr>
        <w:numPr>
          <w:ilvl w:val="0"/>
          <w:numId w:val="1006"/>
        </w:numPr>
        <w:pStyle w:val="Compact"/>
      </w:pPr>
      <w:r>
        <w:t xml:space="preserve">CFA Institute. (2021). *Global Investment Performance Standards in Emerging Markets*. New York: CFA Institute.</w:t>
      </w:r>
    </w:p>
    <w:p>
      <w:pPr>
        <w:numPr>
          <w:ilvl w:val="0"/>
          <w:numId w:val="1006"/>
        </w:numPr>
        <w:pStyle w:val="Compact"/>
      </w:pPr>
      <w:r>
        <w:t xml:space="preserve">Al-Riyadh University. (2022). *Youth Employment and Skills in the Saudi Economy*. Riyadh: Research Division.</w:t>
      </w:r>
    </w:p>
    <w:p>
      <w:pPr>
        <w:pStyle w:val="FirstParagraph"/>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Saudi Arabia Riyadh's Economic Transformation</dc:title>
  <dc:creator/>
  <dc:language>en</dc:language>
  <cp:keywords/>
  <dcterms:created xsi:type="dcterms:W3CDTF">2025-12-10T21:30:23Z</dcterms:created>
  <dcterms:modified xsi:type="dcterms:W3CDTF">2025-12-10T21:30:23Z</dcterms:modified>
</cp:coreProperties>
</file>

<file path=docProps/custom.xml><?xml version="1.0" encoding="utf-8"?>
<Properties xmlns="http://schemas.openxmlformats.org/officeDocument/2006/custom-properties" xmlns:vt="http://schemas.openxmlformats.org/officeDocument/2006/docPropsVTypes"/>
</file>