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6f6307421d36a6f408b8e24de4b68ca98d3864f"/>
    <w:p>
      <w:pPr>
        <w:pStyle w:val="Heading1"/>
      </w:pPr>
      <w:r>
        <w:t xml:space="preserve">Thesis Proposal: The Evolving Role of Financial Analysts in the United Arab Emirates Abu Dhabi</w:t>
      </w:r>
    </w:p>
    <w:bookmarkStart w:id="20" w:name="introduction-and-background"/>
    <w:p>
      <w:pPr>
        <w:pStyle w:val="Heading2"/>
      </w:pPr>
      <w:r>
        <w:t xml:space="preserve">1. Introduction and Background</w:t>
      </w:r>
    </w:p>
    <w:p>
      <w:pPr>
        <w:pStyle w:val="FirstParagraph"/>
      </w:pPr>
      <w:r>
        <w:t xml:space="preserve">The United Arab Emirates (UAE), particularly Abu Dhabi, has emerged as a pivotal financial hub in the Middle East, driving regional economic diversification beyond hydrocarbons. As Abu Dhabi's economy evolves toward knowledge-based sectors including fintech, renewable energy investments, and sovereign wealth management, the role of the Financial Analyst has become increasingly critical. The Abu Dhabi Global Market (ADGM) and the Emirate's Vision 2030 framework underscore strategic financial planning as a cornerstone of sustainable growth. However, despite rapid economic transformation, there remains a significant gap in understanding how Financial Analysts are adapting to Abu Dhabi's unique regulatory environment, cultural business practices, and technological advancements. This Thesis Proposal addresses this critical research void by examining the evolving competencies, challenges, and opportunities for Financial Analysts operating within the United Arab Emirates Abu Dhabi ecosystem.</w:t>
      </w:r>
    </w:p>
    <w:bookmarkEnd w:id="20"/>
    <w:bookmarkStart w:id="21" w:name="problem-statement"/>
    <w:p>
      <w:pPr>
        <w:pStyle w:val="Heading2"/>
      </w:pPr>
      <w:r>
        <w:t xml:space="preserve">2. Problem Statement</w:t>
      </w:r>
    </w:p>
    <w:p>
      <w:pPr>
        <w:pStyle w:val="FirstParagraph"/>
      </w:pPr>
      <w:r>
        <w:t xml:space="preserve">While global financial analysis frameworks are well-documented, their application in Abu Dhabi's distinct context—characterized by Islamic finance principles, sovereign wealth fund dynamics (e.g., Mubadala Development Company), and rapid digitalization—lacks comprehensive academic exploration. Financial Analysts in Abu Dhabi face unique pressures: navigating dual regulatory systems (ADGM and Central Bank of UAE), integrating ESG frameworks with Islamic finance compliance, and leveraging AI-driven analytics within a multicultural workforce. Current industry reports (e.g., PwC UAE Financial Services Outlook 2023) highlight skill gaps in data analytics and cross-cultural financial communication among Abu Dhabi-based analysts, yet no localized research has systematically mapped these challenges. This gap risks misalignment between academic training programs and the Emirate's strategic economic needs.</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required for Financial Analysts to thrive in Abu Dhabi's multi-regulatory financial landscape, including proficiency in Sharia-compliant financial modeling.</w:t>
      </w:r>
    </w:p>
    <w:p>
      <w:pPr>
        <w:numPr>
          <w:ilvl w:val="0"/>
          <w:numId w:val="1001"/>
        </w:numPr>
        <w:pStyle w:val="Compact"/>
      </w:pPr>
      <w:r>
        <w:t xml:space="preserve">To analyze how technological adoption (AI, blockchain, and big data analytics) is transforming traditional financial analysis workflows within Abu Dhabi-based institutions.</w:t>
      </w:r>
    </w:p>
    <w:p>
      <w:pPr>
        <w:numPr>
          <w:ilvl w:val="0"/>
          <w:numId w:val="1001"/>
        </w:numPr>
        <w:pStyle w:val="Compact"/>
      </w:pPr>
      <w:r>
        <w:t xml:space="preserve">To evaluate the impact of Abu Dhabi’s economic diversification initiatives (e.g., renewable energy projects, tourism sector growth) on financial forecasting methodologies used by local analysts.</w:t>
      </w:r>
    </w:p>
    <w:p>
      <w:pPr>
        <w:numPr>
          <w:ilvl w:val="0"/>
          <w:numId w:val="1001"/>
        </w:numPr>
        <w:pStyle w:val="Compact"/>
      </w:pPr>
      <w:r>
        <w:t xml:space="preserve">To propose a competency framework for Financial Analysts aligned with the United Arab Emirates Abu Dhabi's strategic development goals and international best practices.</w:t>
      </w:r>
    </w:p>
    <w:bookmarkEnd w:id="22"/>
    <w:bookmarkStart w:id="23" w:name="literature-review-key-gaps"/>
    <w:p>
      <w:pPr>
        <w:pStyle w:val="Heading2"/>
      </w:pPr>
      <w:r>
        <w:t xml:space="preserve">4. Literature Review (Key Gaps)</w:t>
      </w:r>
    </w:p>
    <w:p>
      <w:pPr>
        <w:pStyle w:val="FirstParagraph"/>
      </w:pPr>
      <w:r>
        <w:t xml:space="preserve">Existing literature focuses heavily on Western financial markets (e.g., US, UK) or generic Middle Eastern contexts, overlooking Abu Dhabi’s specificity. Studies by Al-Muharrami (2021) on Gulf financial analysts emphasize regulatory complexity but neglect technology integration. Meanwhile, ADGM’s 2023 "Fintech Adoption Index" notes 78% of Abu Dhabi firms prioritize data analytics skills yet reports minimal academic research on its implementation in Financial Analyst roles. Crucially, no study examines how Islamic finance principles (e.g., profit-loss sharing models) necessitate tailored analytical approaches absent in global frameworks. This thesis will bridge this gap by contextualizing financial analysis within the United Arab Emirates Abu Dhabi’s socio-economic architecture.</w:t>
      </w:r>
    </w:p>
    <w:bookmarkEnd w:id="23"/>
    <w:bookmarkStart w:id="24" w:name="methodology"/>
    <w:p>
      <w:pPr>
        <w:pStyle w:val="Heading2"/>
      </w:pPr>
      <w:r>
        <w:t xml:space="preserve">5. Methodology</w:t>
      </w:r>
    </w:p>
    <w:p>
      <w:pPr>
        <w:pStyle w:val="FirstParagraph"/>
      </w:pPr>
      <w:r>
        <w:t xml:space="preserve">This study employs a mixed-methods approach to ensure robust, contextually grounded findings:</w:t>
      </w:r>
    </w:p>
    <w:p>
      <w:pPr>
        <w:numPr>
          <w:ilvl w:val="0"/>
          <w:numId w:val="1002"/>
        </w:numPr>
        <w:pStyle w:val="Compact"/>
      </w:pPr>
      <w:r>
        <w:rPr>
          <w:bCs/>
          <w:b/>
        </w:rPr>
        <w:t xml:space="preserve">Quantitative Phase:</w:t>
      </w:r>
      <w:r>
        <w:t xml:space="preserve"> </w:t>
      </w:r>
      <w:r>
        <w:t xml:space="preserve">Survey of 150 Financial Analysts across Abu Dhabi’s financial institutions (including ADGM licensees, Abu Dhabi Investment Authority subsidiaries, and major banks) assessing competency usage frequency in daily tasks.</w:t>
      </w:r>
    </w:p>
    <w:p>
      <w:pPr>
        <w:numPr>
          <w:ilvl w:val="0"/>
          <w:numId w:val="1002"/>
        </w:numPr>
        <w:pStyle w:val="Compact"/>
      </w:pPr>
      <w:r>
        <w:rPr>
          <w:bCs/>
          <w:b/>
        </w:rPr>
        <w:t xml:space="preserve">Qualitative Phase:</w:t>
      </w:r>
      <w:r>
        <w:t xml:space="preserve"> </w:t>
      </w:r>
      <w:r>
        <w:t xml:space="preserve">In-depth interviews with 25 industry leaders (e.g., C-level finance executives at Etihad Airways, Masdar City projects) to explore challenges in ESG integration and technology adoption.</w:t>
      </w:r>
    </w:p>
    <w:p>
      <w:pPr>
        <w:numPr>
          <w:ilvl w:val="0"/>
          <w:numId w:val="1002"/>
        </w:numPr>
        <w:pStyle w:val="Compact"/>
      </w:pPr>
      <w:r>
        <w:rPr>
          <w:bCs/>
          <w:b/>
        </w:rPr>
        <w:t xml:space="preserve">Data Sources:</w:t>
      </w:r>
      <w:r>
        <w:t xml:space="preserve"> </w:t>
      </w:r>
      <w:r>
        <w:t xml:space="preserve">Analysis of UAE Central Bank reports, ADGM regulatory updates, and Abu Dhabi Economic Vision 2030 documents to correlate policy shifts with analytical practices.</w:t>
      </w:r>
    </w:p>
    <w:p>
      <w:pPr>
        <w:pStyle w:val="FirstParagraph"/>
      </w:pPr>
      <w:r>
        <w:t xml:space="preserve">Sampling will prioritize diversity across sectors (banking, energy, tourism) and experience levels. Thematic analysis using NVivo software will identify patterns in competency needs versus current training gaps.</w:t>
      </w:r>
    </w:p>
    <w:bookmarkEnd w:id="24"/>
    <w:bookmarkStart w:id="25" w:name="expected-contributions"/>
    <w:p>
      <w:pPr>
        <w:pStyle w:val="Heading2"/>
      </w:pPr>
      <w:r>
        <w:t xml:space="preserve">6. Expected Contributions</w:t>
      </w:r>
    </w:p>
    <w:p>
      <w:pPr>
        <w:pStyle w:val="FirstParagraph"/>
      </w:pPr>
      <w:r>
        <w:t xml:space="preserve">This Thesis Proposal promises significant value for multiple stakeholders in United Arab Emirates Abu Dhabi:</w:t>
      </w:r>
    </w:p>
    <w:p>
      <w:pPr>
        <w:numPr>
          <w:ilvl w:val="0"/>
          <w:numId w:val="1003"/>
        </w:numPr>
        <w:pStyle w:val="Compact"/>
      </w:pPr>
      <w:r>
        <w:rPr>
          <w:bCs/>
          <w:b/>
        </w:rPr>
        <w:t xml:space="preserve">Educational Institutions:</w:t>
      </w:r>
      <w:r>
        <w:t xml:space="preserve"> </w:t>
      </w:r>
      <w:r>
        <w:t xml:space="preserve">Curriculum redesign for programs at Khalifa University and Zayed University to include Abu Dhabi-specific financial modeling modules (e.g., Islamic finance analytics, ADGM regulatory reporting).</w:t>
      </w:r>
    </w:p>
    <w:p>
      <w:pPr>
        <w:numPr>
          <w:ilvl w:val="0"/>
          <w:numId w:val="1003"/>
        </w:numPr>
        <w:pStyle w:val="Compact"/>
      </w:pPr>
      <w:r>
        <w:rPr>
          <w:bCs/>
          <w:b/>
        </w:rPr>
        <w:t xml:space="preserve">Industry Employers:</w:t>
      </w:r>
      <w:r>
        <w:t xml:space="preserve"> </w:t>
      </w:r>
      <w:r>
        <w:t xml:space="preserve">A validated competency framework to guide recruitment, training, and succession planning for Financial Analyst roles within Abu Dhabi’s evolving market.</w:t>
      </w:r>
    </w:p>
    <w:p>
      <w:pPr>
        <w:numPr>
          <w:ilvl w:val="0"/>
          <w:numId w:val="1003"/>
        </w:numPr>
        <w:pStyle w:val="Compact"/>
      </w:pPr>
      <w:r>
        <w:rPr>
          <w:bCs/>
          <w:b/>
        </w:rPr>
        <w:t xml:space="preserve">Policymakers:</w:t>
      </w:r>
      <w:r>
        <w:t xml:space="preserve"> </w:t>
      </w:r>
      <w:r>
        <w:t xml:space="preserve">Evidence-based recommendations for the Abu Dhabi Department of Economic Development to align talent development with strategic diversification goals.</w:t>
      </w:r>
    </w:p>
    <w:p>
      <w:pPr>
        <w:numPr>
          <w:ilvl w:val="0"/>
          <w:numId w:val="1003"/>
        </w:numPr>
        <w:pStyle w:val="Compact"/>
      </w:pPr>
      <w:r>
        <w:rPr>
          <w:bCs/>
          <w:b/>
        </w:rPr>
        <w:t xml:space="preserve">Academic Field:</w:t>
      </w:r>
      <w:r>
        <w:t xml:space="preserve"> </w:t>
      </w:r>
      <w:r>
        <w:t xml:space="preserve">First comprehensive study on Financial Analyst evolution in a major Gulf financial center, contributing to global comparative finance literature.</w:t>
      </w:r>
    </w:p>
    <w:bookmarkEnd w:id="25"/>
    <w:bookmarkStart w:id="26" w:name="X2c364a7176f8086c3c441a0bc5a2061367adf33"/>
    <w:p>
      <w:pPr>
        <w:pStyle w:val="Heading2"/>
      </w:pPr>
      <w:r>
        <w:t xml:space="preserve">7. Significance in the United Arab Emirates Abu Dhabi Context</w:t>
      </w:r>
    </w:p>
    <w:p>
      <w:pPr>
        <w:pStyle w:val="FirstParagraph"/>
      </w:pPr>
      <w:r>
        <w:t xml:space="preserve">The research directly addresses Abu Dhabi’s strategic imperatives: its "Abu Dhabi Economic Vision 2030" prioritizes knowledge-based sectors, with financial analysis as the engine for investment decisions in emerging industries like hydrogen energy and AI startups. As of 2023, Abu Dhabi’s financial sector grew by 8.5% (UAE Central Bank), yet only 41% of analysts report confidence in their digital skills (ADGM Survey). This Thesis Proposal will equip the Emirate to leverage its Financial Analyst talent pool for sustainable growth, ensuring Abu Dhabi remains competitive with Dubai International Financial Centre and global hubs like Singapore. Crucially, it recognizes that a Financial Analyst in Abu Dhabi must be equally adept at analyzing oil revenue forecasts and solar project ROI—a duality central to the United Arab Emirates’ economic future.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Rigorous academic synthesis; validated survey/interview protocols</w:t>
      </w:r>
    </w:p>
    <w:p>
      <w:pPr>
        <w:pStyle w:val="BodyText"/>
      </w:pPr>
      <w:r>
        <w:t xml:space="preserve">Data Collection (Surveys &amp; Interviews)</w:t>
      </w:r>
    </w:p>
    <w:p>
      <w:pPr>
        <w:pStyle w:val="BodyText"/>
      </w:pPr>
      <w:r>
        <w:t xml:space="preserve">Months 3-5</w:t>
      </w:r>
    </w:p>
    <w:p>
      <w:pPr>
        <w:pStyle w:val="BodyText"/>
      </w:pPr>
      <w:r>
        <w:t xml:space="preserve">Synthesized data from 150+ analysts; thematic insights</w:t>
      </w:r>
    </w:p>
    <w:p>
      <w:pPr>
        <w:pStyle w:val="BodyText"/>
      </w:pPr>
      <w:r>
        <w:t xml:space="preserve">Analysis &amp; Framework Development</w:t>
      </w:r>
    </w:p>
    <w:p>
      <w:pPr>
        <w:pStyle w:val="BodyText"/>
      </w:pPr>
      <w:r>
        <w:t xml:space="preserve">Months 6-8</w:t>
      </w:r>
    </w:p>
    <w:p>
      <w:pPr>
        <w:pStyle w:val="BodyText"/>
      </w:pPr>
      <w:r>
        <w:t xml:space="preserve">Competency framework draft; validation workshop with ADGM experts</w:t>
      </w:r>
    </w:p>
    <w:p>
      <w:pPr>
        <w:pStyle w:val="BodyText"/>
      </w:pPr>
      <w:r>
        <w:t xml:space="preserve">Dissertation Writing &amp; Finalization</w:t>
      </w:r>
    </w:p>
    <w:p>
      <w:pPr>
        <w:pStyle w:val="BodyText"/>
      </w:pPr>
      <w:r>
        <w:t xml:space="preserve">Months 9-12</w:t>
      </w:r>
    </w:p>
    <w:p>
      <w:pPr>
        <w:pStyle w:val="BodyText"/>
      </w:pPr>
      <w:r>
        <w:br/>
      </w:r>
    </w:p>
    <w:bookmarkEnd w:id="27"/>
    <w:bookmarkStart w:id="28" w:name="conclusion"/>
    <w:p>
      <w:pPr>
        <w:pStyle w:val="Heading2"/>
      </w:pPr>
      <w:r>
        <w:t xml:space="preserve">9. Conclusion</w:t>
      </w:r>
    </w:p>
    <w:p>
      <w:pPr>
        <w:pStyle w:val="FirstParagraph"/>
      </w:pPr>
      <w:r>
        <w:t xml:space="preserve">The role of the Financial Analyst in United Arab Emirates Abu Dhabi has transcended traditional number-crunching to become a strategic catalyst for economic transformation. This Thesis Proposal establishes a roadmap for understanding how these professionals navigate Abu Dhabi’s complex financial ecosystem—from sovereign wealth fund dynamics to cutting-edge fintech adoption—while aligning with national development visions. By grounding the research in Abu Dhabi’s unique regulatory, cultural, and technological landscape, this study will deliver actionable insights that empower Financial Analysts to drive the Emirate's next phase of growth. The findings will not only advance academic discourse but directly support Abu Dhabi’s ambition to be a global leader in responsible financial innovation by 2030. This research represents a vital step toward building a future where the Financial Analyst is not merely an evaluator of data, but an architect of sustainable prosperity for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United Arab Emirates Abu Dhabi</dc:title>
  <dc:creator/>
  <dc:language>en</dc:language>
  <cp:keywords/>
  <dcterms:created xsi:type="dcterms:W3CDTF">2026-07-23T13:29:06Z</dcterms:created>
  <dcterms:modified xsi:type="dcterms:W3CDTF">2026-07-23T13:29:06Z</dcterms:modified>
</cp:coreProperties>
</file>

<file path=docProps/custom.xml><?xml version="1.0" encoding="utf-8"?>
<Properties xmlns="http://schemas.openxmlformats.org/officeDocument/2006/custom-properties" xmlns:vt="http://schemas.openxmlformats.org/officeDocument/2006/docPropsVTypes"/>
</file>