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Dubai's</w:t>
      </w:r>
      <w:r>
        <w:t xml:space="preserve"> </w:t>
      </w:r>
      <w:r>
        <w:t xml:space="preserve">Evolving</w:t>
      </w:r>
      <w:r>
        <w:t xml:space="preserve"> </w:t>
      </w:r>
      <w:r>
        <w:t xml:space="preserve">Financial</w:t>
      </w:r>
      <w:r>
        <w:t xml:space="preserve"> </w:t>
      </w:r>
      <w:r>
        <w:t xml:space="preserve">Ecosystem</w:t>
      </w:r>
    </w:p>
    <w:bookmarkStart w:id="29" w:name="X63a8dbae3afe4173f20250a81f30d0741275cea"/>
    <w:p>
      <w:pPr>
        <w:pStyle w:val="Heading1"/>
      </w:pPr>
      <w:r>
        <w:t xml:space="preserve">Thesis Proposal: Strategic Imperatives for Financial Analysts in the United Arab Emirates Dubai Context</w:t>
      </w:r>
    </w:p>
    <w:bookmarkStart w:id="20" w:name="introduction-and-background"/>
    <w:p>
      <w:pPr>
        <w:pStyle w:val="Heading2"/>
      </w:pPr>
      <w:r>
        <w:t xml:space="preserve">1. Introduction and Background</w:t>
      </w:r>
    </w:p>
    <w:p>
      <w:pPr>
        <w:pStyle w:val="FirstParagraph"/>
      </w:pPr>
      <w:r>
        <w:t xml:space="preserve">The financial landscape of the United Arab Emirates (UAE), particularly Dubai, has undergone transformative growth over the past two decades, establishing itself as a pivotal global hub for finance, investment, and innovation in the Middle East. As Dubai continues to diversify beyond traditional oil revenues toward a knowledge-based economy anchored by sectors like fintech, real estate, and international trade, the demand for sophisticated financial expertise has surged exponentially. This</w:t>
      </w:r>
      <w:r>
        <w:t xml:space="preserve"> </w:t>
      </w:r>
      <w:r>
        <w:rPr>
          <w:bCs/>
          <w:b/>
        </w:rPr>
        <w:t xml:space="preserve">Thesis Proposal</w:t>
      </w:r>
      <w:r>
        <w:t xml:space="preserve"> </w:t>
      </w:r>
      <w:r>
        <w:t xml:space="preserve">addresses a critical gap: the evolving role of the</w:t>
      </w:r>
      <w:r>
        <w:t xml:space="preserve"> </w:t>
      </w:r>
      <w:r>
        <w:rPr>
          <w:bCs/>
          <w:b/>
        </w:rPr>
        <w:t xml:space="preserve">Financial Analyst</w:t>
      </w:r>
      <w:r>
        <w:t xml:space="preserve"> </w:t>
      </w:r>
      <w:r>
        <w:t xml:space="preserve">within Dubai's unique economic ecosystem. While global best practices exist, Dubai's distinct regulatory environment (e.g., DIFC, ADGM), cultural dynamics, and rapid digital transformation necessitate context-specific analysis of how</w:t>
      </w:r>
      <w:r>
        <w:t xml:space="preserve"> </w:t>
      </w:r>
      <w:r>
        <w:rPr>
          <w:bCs/>
          <w:b/>
        </w:rPr>
        <w:t xml:space="preserve">Financial Analyst</w:t>
      </w:r>
      <w:r>
        <w:t xml:space="preserve">s contribute to strategic decision-making in the</w:t>
      </w:r>
      <w:r>
        <w:t xml:space="preserve"> </w:t>
      </w:r>
      <w:r>
        <w:rPr>
          <w:bCs/>
          <w:b/>
        </w:rPr>
        <w:t xml:space="preserve">United Arab Emirates Dubai</w:t>
      </w:r>
      <w:r>
        <w:t xml:space="preserve"> </w:t>
      </w:r>
      <w:r>
        <w:t xml:space="preserve">market.</w:t>
      </w:r>
    </w:p>
    <w:bookmarkEnd w:id="20"/>
    <w:bookmarkStart w:id="21" w:name="problem-statement"/>
    <w:p>
      <w:pPr>
        <w:pStyle w:val="Heading2"/>
      </w:pPr>
      <w:r>
        <w:t xml:space="preserve">2. Problem Statement</w:t>
      </w:r>
    </w:p>
    <w:p>
      <w:pPr>
        <w:pStyle w:val="FirstParagraph"/>
      </w:pPr>
      <w:r>
        <w:t xml:space="preserve">Despite Dubai's status as a financial magnet attracting over 50% of the UAE's foreign direct investment (FDI), current literature lacks comprehensive studies on how local and international</w:t>
      </w:r>
      <w:r>
        <w:t xml:space="preserve"> </w:t>
      </w:r>
      <w:r>
        <w:rPr>
          <w:bCs/>
          <w:b/>
        </w:rPr>
        <w:t xml:space="preserve">Financial Analyst</w:t>
      </w:r>
      <w:r>
        <w:t xml:space="preserve">s adapt to Dubai-specific challenges. Key issues include: (1) Regulatory fragmentation between UAE federal laws and free zone jurisdictions like DIFC; (2) Cultural nuances in financial communication affecting stakeholder engagement; (3) The accelerating impact of AI-driven analytics on traditional analytical roles; and (4) Talent gaps in emerging areas like ESG investing, which is rapidly gaining traction under Dubai's Net Zero 2050 initiative. Without targeted research, organizations operating within the</w:t>
      </w:r>
      <w:r>
        <w:t xml:space="preserve"> </w:t>
      </w:r>
      <w:r>
        <w:rPr>
          <w:bCs/>
          <w:b/>
        </w:rPr>
        <w:t xml:space="preserve">United Arab Emirates Dubai</w:t>
      </w:r>
      <w:r>
        <w:t xml:space="preserve"> </w:t>
      </w:r>
      <w:r>
        <w:t xml:space="preserve">context risk misallocating resources and missing strategic opportunities.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evolving skillset requirements for a modern Financial Analyst in Dubai's post-pandemic economy.</w:t>
      </w:r>
    </w:p>
    <w:p>
      <w:pPr>
        <w:numPr>
          <w:ilvl w:val="0"/>
          <w:numId w:val="1001"/>
        </w:numPr>
        <w:pStyle w:val="Compact"/>
      </w:pPr>
      <w:r>
        <w:t xml:space="preserve">Analyze how regulatory frameworks (DIFC, ADGM, Central Bank of UAE) influence financial modeling and reporting practices.</w:t>
      </w:r>
    </w:p>
    <w:p>
      <w:pPr>
        <w:numPr>
          <w:ilvl w:val="0"/>
          <w:numId w:val="1001"/>
        </w:numPr>
        <w:pStyle w:val="Compact"/>
      </w:pPr>
      <w:r>
        <w:t xml:space="preserve">Evaluate the impact of digital transformation (blockchain, AI tools) on the efficiency and strategic value of Financial Analysts in Dubai-based corporations.</w:t>
      </w:r>
    </w:p>
    <w:p>
      <w:pPr>
        <w:numPr>
          <w:ilvl w:val="0"/>
          <w:numId w:val="1001"/>
        </w:numPr>
        <w:pStyle w:val="Compact"/>
      </w:pPr>
      <w:r>
        <w:t xml:space="preserve">Identify cultural competency gaps affecting cross-border financial analysis within Dubai's multinational business environment.</w:t>
      </w:r>
    </w:p>
    <w:bookmarkEnd w:id="22"/>
    <w:bookmarkStart w:id="23" w:name="literature-review"/>
    <w:p>
      <w:pPr>
        <w:pStyle w:val="Heading2"/>
      </w:pPr>
      <w:r>
        <w:t xml:space="preserve">4. Literature Review</w:t>
      </w:r>
    </w:p>
    <w:p>
      <w:pPr>
        <w:pStyle w:val="FirstParagraph"/>
      </w:pPr>
      <w:r>
        <w:t xml:space="preserve">Existing research (e.g., Al-Muharrami &amp; Khan, 2021; KPMG UAE Reports) highlights Dubai's growth but focuses primarily on macroeconomic indicators without dissecting the micro-level role of Financial Analysts. Studies in Western contexts (e.g., CFA Institute, 2023) emphasize technical skills but overlook cultural adaptation needs in emerging markets. Recent UAE-specific works (Al-Suwaidi, 2022) note rising demand for ESG-literate analysts but provide no operational framework. This</w:t>
      </w:r>
      <w:r>
        <w:t xml:space="preserve"> </w:t>
      </w:r>
      <w:r>
        <w:rPr>
          <w:bCs/>
          <w:b/>
        </w:rPr>
        <w:t xml:space="preserve">Thesis Proposal</w:t>
      </w:r>
      <w:r>
        <w:t xml:space="preserve"> </w:t>
      </w:r>
      <w:r>
        <w:t xml:space="preserve">bridges this gap by centering the</w:t>
      </w:r>
      <w:r>
        <w:t xml:space="preserve"> </w:t>
      </w:r>
      <w:r>
        <w:rPr>
          <w:bCs/>
          <w:b/>
        </w:rPr>
        <w:t xml:space="preserve">Financial Analyst</w:t>
      </w:r>
      <w:r>
        <w:t xml:space="preserve">'s daily challenges within the</w:t>
      </w:r>
      <w:r>
        <w:t xml:space="preserve"> </w:t>
      </w:r>
      <w:r>
        <w:rPr>
          <w:bCs/>
          <w:b/>
        </w:rPr>
        <w:t xml:space="preserve">United Arab Emirates Dubai</w:t>
      </w:r>
      <w:r>
        <w:t xml:space="preserve">'s unique commercial ecosystem, where 40% of professionals work across multiple regulatory zones (Dubai Economic Department, 2023).</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Quantitative Phase:</w:t>
      </w:r>
      <w:r>
        <w:t xml:space="preserve"> </w:t>
      </w:r>
      <w:r>
        <w:t xml:space="preserve">Survey of 150+ Financial Analysts across Dubai-based firms (banks, real estate, fintech) using Likert-scale questions assessing skill relevance, regulatory challenges, and technology adoption.</w:t>
      </w:r>
    </w:p>
    <w:p>
      <w:pPr>
        <w:numPr>
          <w:ilvl w:val="0"/>
          <w:numId w:val="1002"/>
        </w:numPr>
        <w:pStyle w:val="Compact"/>
      </w:pPr>
      <w:r>
        <w:rPr>
          <w:bCs/>
          <w:b/>
        </w:rPr>
        <w:t xml:space="preserve">Qualitative Phase:</w:t>
      </w:r>
      <w:r>
        <w:t xml:space="preserve"> </w:t>
      </w:r>
      <w:r>
        <w:t xml:space="preserve">In-depth interviews with 25 senior finance leaders (including DIFC regulators and multinational CFOs) to explore strategic impacts of analytical insights on investment decisions.</w:t>
      </w:r>
    </w:p>
    <w:p>
      <w:pPr>
        <w:numPr>
          <w:ilvl w:val="0"/>
          <w:numId w:val="1002"/>
        </w:numPr>
        <w:pStyle w:val="Compact"/>
      </w:pPr>
      <w:r>
        <w:rPr>
          <w:bCs/>
          <w:b/>
        </w:rPr>
        <w:t xml:space="preserve">Cases Studies:</w:t>
      </w:r>
      <w:r>
        <w:t xml:space="preserve"> </w:t>
      </w:r>
      <w:r>
        <w:t xml:space="preserve">Analysis of three Dubai-based companies navigating regulatory shifts (e.g., Dubai Financial Market's new ESG framework) to document how</w:t>
      </w:r>
      <w:r>
        <w:t xml:space="preserve"> </w:t>
      </w:r>
      <w:r>
        <w:rPr>
          <w:bCs/>
          <w:b/>
        </w:rPr>
        <w:t xml:space="preserve">Financial Analyst</w:t>
      </w:r>
      <w:r>
        <w:t xml:space="preserve">s enabled adaptive strategies.</w:t>
      </w:r>
    </w:p>
    <w:p>
      <w:pPr>
        <w:pStyle w:val="FirstParagraph"/>
      </w:pPr>
      <w:r>
        <w:t xml:space="preserve">Data will be analyzed via SPSS for quantitative trends and thematic coding for qualitative insights, ensuring triangulation of findings. Ethical approval will be sought from the University of Dubai’s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actionable outcomes:</w:t>
      </w:r>
    </w:p>
    <w:p>
      <w:pPr>
        <w:numPr>
          <w:ilvl w:val="0"/>
          <w:numId w:val="1003"/>
        </w:numPr>
        <w:pStyle w:val="Compact"/>
      </w:pPr>
      <w:r>
        <w:t xml:space="preserve">A framework for developing UAE-specific Financial Analyst competency models integrating regulatory literacy, cultural intelligence, and digital fluency.</w:t>
      </w:r>
    </w:p>
    <w:p>
      <w:pPr>
        <w:numPr>
          <w:ilvl w:val="0"/>
          <w:numId w:val="1003"/>
        </w:numPr>
        <w:pStyle w:val="Compact"/>
      </w:pPr>
      <w:r>
        <w:t xml:space="preserve">Evidence-based recommendations for Dubai’s institutions (e.g., Dubai Future Accelerators) to enhance financial talent pipelines.</w:t>
      </w:r>
    </w:p>
    <w:p>
      <w:pPr>
        <w:numPr>
          <w:ilvl w:val="0"/>
          <w:numId w:val="1003"/>
        </w:numPr>
        <w:pStyle w:val="Compact"/>
      </w:pPr>
      <w:r>
        <w:t xml:space="preserve">Guidance for multinational corporations operating in the</w:t>
      </w:r>
      <w:r>
        <w:t xml:space="preserve"> </w:t>
      </w:r>
      <w:r>
        <w:rPr>
          <w:bCs/>
          <w:b/>
        </w:rPr>
        <w:t xml:space="preserve">United Arab Emirates Dubai</w:t>
      </w:r>
      <w:r>
        <w:t xml:space="preserve"> </w:t>
      </w:r>
      <w:r>
        <w:t xml:space="preserve">on optimizing analytical teams amid regulatory complexity.</w:t>
      </w:r>
    </w:p>
    <w:p>
      <w:pPr>
        <w:pStyle w:val="FirstParagraph"/>
      </w:pPr>
      <w:r>
        <w:t xml:space="preserve">The significance extends beyond academia: As Dubai aims to become the world’s top global financial center by 2035 (Dubai International Financial Centre, 2023), this</w:t>
      </w:r>
      <w:r>
        <w:t xml:space="preserve"> </w:t>
      </w:r>
      <w:r>
        <w:rPr>
          <w:bCs/>
          <w:b/>
        </w:rPr>
        <w:t xml:space="preserve">Thesis Proposal</w:t>
      </w:r>
      <w:r>
        <w:t xml:space="preserve"> </w:t>
      </w:r>
      <w:r>
        <w:t xml:space="preserve">directly supports national strategic objectives by addressing a critical human capital bottleneck. For instance, a recent PwC report notes that 68% of Dubai firms struggle to find analysts who understand both international standards and UAE-specific compliance—costing an estimated AED 1.2 billion annually in misaligned decisions.</w:t>
      </w:r>
    </w:p>
    <w:bookmarkEnd w:id="25"/>
    <w:bookmarkStart w:id="26" w:name="relevance-to-united-arab-emirates-dubai"/>
    <w:p>
      <w:pPr>
        <w:pStyle w:val="Heading2"/>
      </w:pPr>
      <w:r>
        <w:t xml:space="preserve">7. Relevance to United Arab Emirates Dubai</w:t>
      </w:r>
    </w:p>
    <w:p>
      <w:pPr>
        <w:pStyle w:val="FirstParagraph"/>
      </w:pPr>
      <w:r>
        <w:t xml:space="preserve">The study’s focus on the</w:t>
      </w:r>
      <w:r>
        <w:t xml:space="preserve"> </w:t>
      </w:r>
      <w:r>
        <w:rPr>
          <w:bCs/>
          <w:b/>
        </w:rPr>
        <w:t xml:space="preserve">United Arab Emirates Dubai</w:t>
      </w:r>
      <w:r>
        <w:t xml:space="preserve"> </w:t>
      </w:r>
      <w:r>
        <w:t xml:space="preserve">context is non-negotiable. Unlike generic financial studies, this research interrogates how:</w:t>
      </w:r>
    </w:p>
    <w:p>
      <w:pPr>
        <w:numPr>
          <w:ilvl w:val="0"/>
          <w:numId w:val="1004"/>
        </w:numPr>
        <w:pStyle w:val="Compact"/>
      </w:pPr>
      <w:r>
        <w:t xml:space="preserve">Dubai’s "golden visa" policy attracts global finance talent but creates cultural integration challenges for local Financial Analysts.</w:t>
      </w:r>
    </w:p>
    <w:p>
      <w:pPr>
        <w:numPr>
          <w:ilvl w:val="0"/>
          <w:numId w:val="1004"/>
        </w:numPr>
        <w:pStyle w:val="Compact"/>
      </w:pPr>
      <w:r>
        <w:t xml:space="preserve">The 2023 UAE Corporate Tax Law requires analysts to recalibrate valuation models beyond traditional oil-sector metrics.</w:t>
      </w:r>
    </w:p>
    <w:p>
      <w:pPr>
        <w:numPr>
          <w:ilvl w:val="0"/>
          <w:numId w:val="1004"/>
        </w:numPr>
        <w:pStyle w:val="Compact"/>
      </w:pPr>
      <w:r>
        <w:t xml:space="preserve">Initiatives like Dubai Carbon Centre of Excellence demand ESG analytics skills previously absent from most analyst job descriptions.</w:t>
      </w:r>
    </w:p>
    <w:p>
      <w:pPr>
        <w:pStyle w:val="FirstParagraph"/>
      </w:pPr>
      <w:r>
        <w:t xml:space="preserve">By grounding analysis in Dubai’s operational realities—not theoretical Western models—the findings will deliver immediate value to stakeholders including the Dubai Department of Economy and Tourism, the Securities and Commodities Authority (SCA), and leading financial institutions like Emirates NBD.</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that the role of the</w:t>
      </w:r>
      <w:r>
        <w:t xml:space="preserve"> </w:t>
      </w:r>
      <w:r>
        <w:rPr>
          <w:bCs/>
          <w:b/>
        </w:rPr>
        <w:t xml:space="preserve">Financial Analyst</w:t>
      </w:r>
      <w:r>
        <w:t xml:space="preserve"> </w:t>
      </w:r>
      <w:r>
        <w:t xml:space="preserve">in the</w:t>
      </w:r>
      <w:r>
        <w:t xml:space="preserve"> </w:t>
      </w:r>
      <w:r>
        <w:rPr>
          <w:bCs/>
          <w:b/>
        </w:rPr>
        <w:t xml:space="preserve">United Arab Emirates Dubai</w:t>
      </w:r>
      <w:r>
        <w:t xml:space="preserve">'s economic trajectory is not merely supportive but foundational to sustainable growth. As Dubai accelerates its vision for financial innovation, this research will provide evidence-based insights to future-proof analytical capabilities. The outcomes will empower organizations to leverage data-driven strategies within a dynamic regulatory landscape, directly contributing to the UAE’s ambition of becoming a leading global financial hub. With Dubai’s financial sector projected to grow at 6.5% annually through 2027 (World Bank, 2024), understanding how the</w:t>
      </w:r>
      <w:r>
        <w:t xml:space="preserve"> </w:t>
      </w:r>
      <w:r>
        <w:rPr>
          <w:bCs/>
          <w:b/>
        </w:rPr>
        <w:t xml:space="preserve">Financial Analyst</w:t>
      </w:r>
      <w:r>
        <w:t xml:space="preserve"> </w:t>
      </w:r>
      <w:r>
        <w:t xml:space="preserve">evolves in this context is not just academically vital—it is an economic imperative.</w:t>
      </w:r>
    </w:p>
    <w:bookmarkStart w:id="27" w:name="word-count-848"/>
    <w:p>
      <w:pPr>
        <w:pStyle w:val="Heading3"/>
      </w:pPr>
      <w:r>
        <w:t xml:space="preserve">Word Count: 848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Dubai's Evolving Financial Ecosystem</dc:title>
  <dc:creator/>
  <dc:language>en</dc:language>
  <cp:keywords/>
  <dcterms:created xsi:type="dcterms:W3CDTF">2026-07-23T17:17:43Z</dcterms:created>
  <dcterms:modified xsi:type="dcterms:W3CDTF">2026-07-23T17:17:43Z</dcterms:modified>
</cp:coreProperties>
</file>

<file path=docProps/custom.xml><?xml version="1.0" encoding="utf-8"?>
<Properties xmlns="http://schemas.openxmlformats.org/officeDocument/2006/custom-properties" xmlns:vt="http://schemas.openxmlformats.org/officeDocument/2006/docPropsVTypes"/>
</file>