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Kingdom</w:t>
      </w:r>
      <w:r>
        <w:t xml:space="preserve"> </w:t>
      </w:r>
      <w:r>
        <w:t xml:space="preserve">London's</w:t>
      </w:r>
      <w:r>
        <w:t xml:space="preserve"> </w:t>
      </w:r>
      <w:r>
        <w:t xml:space="preserve">Financial</w:t>
      </w:r>
      <w:r>
        <w:t xml:space="preserve"> </w:t>
      </w:r>
      <w:r>
        <w:t xml:space="preserve">Ecosystem</w:t>
      </w:r>
    </w:p>
    <w:bookmarkStart w:id="30" w:name="X87ffd51aaa4dd85003da063ee929dee21a1e3bc"/>
    <w:p>
      <w:pPr>
        <w:pStyle w:val="Heading1"/>
      </w:pPr>
      <w:r>
        <w:t xml:space="preserve">Thesis Proposal: The Evolving Role of Financial Analysts in United Kingdom London's Financial Ecosystem</w:t>
      </w:r>
    </w:p>
    <w:bookmarkStart w:id="20" w:name="introduction-and-research-context"/>
    <w:p>
      <w:pPr>
        <w:pStyle w:val="Heading2"/>
      </w:pPr>
      <w:r>
        <w:t xml:space="preserve">Introduction and Research Context</w:t>
      </w:r>
    </w:p>
    <w:p>
      <w:pPr>
        <w:pStyle w:val="FirstParagraph"/>
      </w:pPr>
      <w:r>
        <w:t xml:space="preserve">The financial services sector remains the cornerstone of the United Kingdom's economy, with London serving as one of the world's premier global financial centers. As a leading hub for banking, investment management, and capital markets, London attracts over 60% of Europe's asset management assets and hosts headquarters for numerous multinational financial institutions. Within this dynamic environment, the role of the</w:t>
      </w:r>
      <w:r>
        <w:t xml:space="preserve"> </w:t>
      </w:r>
      <w:r>
        <w:rPr>
          <w:bCs/>
          <w:b/>
        </w:rPr>
        <w:t xml:space="preserve">Financial Analyst</w:t>
      </w:r>
      <w:r>
        <w:t xml:space="preserve"> </w:t>
      </w:r>
      <w:r>
        <w:t xml:space="preserve">has undergone significant transformation driven by technological disruption, regulatory shifts (such as MiFID II), and evolving market complexities. This</w:t>
      </w:r>
      <w:r>
        <w:t xml:space="preserve"> </w:t>
      </w:r>
      <w:r>
        <w:rPr>
          <w:bCs/>
          <w:b/>
        </w:rPr>
        <w:t xml:space="preserve">Thesis Proposal</w:t>
      </w:r>
      <w:r>
        <w:t xml:space="preserve"> </w:t>
      </w:r>
      <w:r>
        <w:t xml:space="preserve">examines how the responsibilities, skill requirements, and strategic impact of</w:t>
      </w:r>
      <w:r>
        <w:t xml:space="preserve"> </w:t>
      </w:r>
      <w:r>
        <w:rPr>
          <w:iCs/>
          <w:i/>
        </w:rPr>
        <w:t xml:space="preserve">Financial Analysts in United Kingdom London</w:t>
      </w:r>
      <w:r>
        <w:t xml:space="preserve"> </w:t>
      </w:r>
      <w:r>
        <w:t xml:space="preserve">are adapting to contemporary challenges. The study addresses a critical gap: while numerous studies focus on financial analysis globally, few investigate the nuanced evolution within London's unique regulatory and market context.</w:t>
      </w:r>
    </w:p>
    <w:bookmarkEnd w:id="20"/>
    <w:bookmarkStart w:id="21" w:name="problem-statement"/>
    <w:p>
      <w:pPr>
        <w:pStyle w:val="Heading2"/>
      </w:pPr>
      <w:r>
        <w:t xml:space="preserve">Problem Statement</w:t>
      </w:r>
    </w:p>
    <w:p>
      <w:pPr>
        <w:pStyle w:val="FirstParagraph"/>
      </w:pPr>
      <w:r>
        <w:t xml:space="preserve">Despite London's status as a financial powerhouse, recent industry reports indicate a growing disconnect between traditional analytical competencies and emerging market demands. The Chartered Institute for Securities &amp; Investment (CISI) notes that 68% of UK financial institutions struggle to recruit analysts with both advanced data science skills and deep market knowledge. Simultaneously, the Bank of England's 2023 Financial Stability Report highlights increasing volatility in European markets due to geopolitical tensions and ESG integration challenges. This creates an urgent need for research into how</w:t>
      </w:r>
      <w:r>
        <w:t xml:space="preserve"> </w:t>
      </w:r>
      <w:r>
        <w:rPr>
          <w:bCs/>
          <w:b/>
        </w:rPr>
        <w:t xml:space="preserve">Financial Analysts in United Kingdom London</w:t>
      </w:r>
      <w:r>
        <w:t xml:space="preserve"> </w:t>
      </w:r>
      <w:r>
        <w:t xml:space="preserve">are developing new capabilities to navigate these complexities while maintaining regulatory compliance. Without this understanding, educational institutions and firms risk perpetuating skill gaps that undermine London's competitive edge.</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competency framework of Financial Analysts operating within London-based financial institutions (investment banks, asset managers, fintechs)</w:t>
      </w:r>
    </w:p>
    <w:p>
      <w:pPr>
        <w:numPr>
          <w:ilvl w:val="0"/>
          <w:numId w:val="1001"/>
        </w:numPr>
        <w:pStyle w:val="Compact"/>
      </w:pPr>
      <w:r>
        <w:t xml:space="preserve">To identify critical skills gaps exacerbated by technological adoption (AI-driven analytics, alternative data sources) and regulatory changes</w:t>
      </w:r>
    </w:p>
    <w:p>
      <w:pPr>
        <w:numPr>
          <w:ilvl w:val="0"/>
          <w:numId w:val="1001"/>
        </w:numPr>
        <w:pStyle w:val="Compact"/>
      </w:pPr>
      <w:r>
        <w:t xml:space="preserve">To evaluate the strategic impact of Financial Analysts on investment decision-making processes in post-Brexit London markets</w:t>
      </w:r>
    </w:p>
    <w:p>
      <w:pPr>
        <w:numPr>
          <w:ilvl w:val="0"/>
          <w:numId w:val="1001"/>
        </w:numPr>
        <w:pStyle w:val="Compact"/>
      </w:pPr>
      <w:r>
        <w:t xml:space="preserve">To propose a forward-looking professional development framework tailored to the United Kingdom London financial ecosystem</w:t>
      </w:r>
    </w:p>
    <w:bookmarkEnd w:id="22"/>
    <w:bookmarkStart w:id="23" w:name="literature-review-key-gaps"/>
    <w:p>
      <w:pPr>
        <w:pStyle w:val="Heading2"/>
      </w:pPr>
      <w:r>
        <w:t xml:space="preserve">Literature Review (Key Gaps)</w:t>
      </w:r>
    </w:p>
    <w:p>
      <w:pPr>
        <w:pStyle w:val="FirstParagraph"/>
      </w:pPr>
      <w:r>
        <w:t xml:space="preserve">Existing scholarship largely focuses on quantitative analysis techniques or generic career paths for Financial Analysts. Studies by Smith (2020) and Chen &amp; Lee (2021) examine AI adoption in U.S. markets but overlook London's unique regulatory environment shaped by the UK Financial Conduct Authority (FCA). Research on post-Brexit market adaptations (e.g., Baker, 2023) addresses macroeconomic shifts but neglects the micro-level role of analysts as information translators between global investors and UK-specific market developments. Crucially, no study has holistically analyzed how London's distinct financial architecture—characterized by its interplay of historic institutions and agile fintech innovation—affects the evolving</w:t>
      </w:r>
      <w:r>
        <w:t xml:space="preserve"> </w:t>
      </w:r>
      <w:r>
        <w:rPr>
          <w:iCs/>
          <w:i/>
        </w:rPr>
        <w:t xml:space="preserve">Financial Analyst</w:t>
      </w:r>
      <w:r>
        <w:t xml:space="preserve">'s value proposition. This gap is particularly acute given that London remains the EU's largest foreign exchange trading center post-Brexit (Bank of England, 2023).</w:t>
      </w:r>
    </w:p>
    <w:bookmarkEnd w:id="23"/>
    <w:bookmarkStart w:id="25" w:name="methodology"/>
    <w:p>
      <w:pPr>
        <w:pStyle w:val="Heading2"/>
      </w:pPr>
      <w:r>
        <w:t xml:space="preserve">Methodology</w:t>
      </w:r>
    </w:p>
    <w:bookmarkStart w:id="24" w:name="multi-method-approach"/>
    <w:p>
      <w:pPr>
        <w:pStyle w:val="Heading3"/>
      </w:pPr>
      <w:r>
        <w:t xml:space="preserve">Multi-Method Approach</w:t>
      </w:r>
    </w:p>
    <w:p>
      <w:pPr>
        <w:pStyle w:val="FirstParagraph"/>
      </w:pPr>
      <w:r>
        <w:t xml:space="preserve">This research employs a sequential mixed-methods design:</w:t>
      </w:r>
    </w:p>
    <w:p>
      <w:pPr>
        <w:numPr>
          <w:ilvl w:val="0"/>
          <w:numId w:val="1002"/>
        </w:numPr>
        <w:pStyle w:val="Compact"/>
      </w:pPr>
      <w:r>
        <w:rPr>
          <w:bCs/>
          <w:b/>
        </w:rPr>
        <w:t xml:space="preserve">Phase 1: Quantitative Survey</w:t>
      </w:r>
      <w:r>
        <w:t xml:space="preserve">: Online questionnaire distributed to 500+ Financial Analysts across London-based institutions (targeting mid-career professionals, n=250 valid responses). Measures skill proficiency levels across core domains (financial modeling, data analytics, regulatory compliance) using a validated Likert scale.</w:t>
      </w:r>
    </w:p>
    <w:p>
      <w:pPr>
        <w:numPr>
          <w:ilvl w:val="0"/>
          <w:numId w:val="1002"/>
        </w:numPr>
        <w:pStyle w:val="Compact"/>
      </w:pPr>
      <w:r>
        <w:rPr>
          <w:bCs/>
          <w:b/>
        </w:rPr>
        <w:t xml:space="preserve">Phase 2: Qualitative Interviews</w:t>
      </w:r>
      <w:r>
        <w:t xml:space="preserve">: In-depth interviews with 30 senior analysts and hiring managers from top-tier firms (e.g., Barclays, Goldman Sachs London, BlackRock UK). Focuses on strategic decision-making processes and perceived skill gaps.</w:t>
      </w:r>
    </w:p>
    <w:p>
      <w:pPr>
        <w:numPr>
          <w:ilvl w:val="0"/>
          <w:numId w:val="1002"/>
        </w:numPr>
        <w:pStyle w:val="Compact"/>
      </w:pPr>
      <w:r>
        <w:rPr>
          <w:bCs/>
          <w:b/>
        </w:rPr>
        <w:t xml:space="preserve">Phase 3: Regulatory &amp; Market Analysis</w:t>
      </w:r>
      <w:r>
        <w:t xml:space="preserve">: Comparative study of FCA guidelines (MiFID II implementation) versus actual analyst workflows in London offices.</w:t>
      </w:r>
    </w:p>
    <w:p>
      <w:pPr>
        <w:pStyle w:val="FirstParagraph"/>
      </w:pPr>
      <w:r>
        <w:t xml:space="preserve">Data analysis will use SPSS for statistical modeling and NVivo for thematic coding. Ethical approval will be obtained through [University Name] Ethics Committee, ensuring GDPR compliance given the United Kingdom London context.</w:t>
      </w:r>
    </w:p>
    <w:bookmarkEnd w:id="24"/>
    <w:bookmarkEnd w:id="25"/>
    <w:bookmarkStart w:id="26"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key contributions to the field:</w:t>
      </w:r>
    </w:p>
    <w:p>
      <w:pPr>
        <w:numPr>
          <w:ilvl w:val="0"/>
          <w:numId w:val="1003"/>
        </w:numPr>
        <w:pStyle w:val="Compact"/>
      </w:pPr>
      <w:r>
        <w:t xml:space="preserve">Theoretical**: A new conceptual framework defining the "London Financial Analyst" archetype, integrating technological proficiency, regulatory navigation, and strategic advisory capabilities unique to United Kingdom financial markets.</w:t>
      </w:r>
    </w:p>
    <w:p>
      <w:pPr>
        <w:numPr>
          <w:ilvl w:val="0"/>
          <w:numId w:val="1003"/>
        </w:numPr>
        <w:pStyle w:val="Compact"/>
      </w:pPr>
      <w:r>
        <w:t xml:space="preserve">Practical**: An actionable competency matrix for firms and educational bodies (e.g., CFA Institute UK, London School of Economics) to redesign training programs addressing the skills gap identified in Phase 1.</w:t>
      </w:r>
    </w:p>
    <w:p>
      <w:pPr>
        <w:numPr>
          <w:ilvl w:val="0"/>
          <w:numId w:val="1003"/>
        </w:numPr>
        <w:pStyle w:val="Compact"/>
      </w:pPr>
      <w:r>
        <w:t xml:space="preserve">Policy-Relevant**: Evidence-based recommendations for the FCA on how regulatory requirements could better support analyst effectiveness in London's post-Brexit landscape.</w:t>
      </w:r>
    </w:p>
    <w:p>
      <w:pPr>
        <w:pStyle w:val="FirstParagraph"/>
      </w:pPr>
      <w:r>
        <w:t xml:space="preserve">The significance extends beyond academia: By optimizing the</w:t>
      </w:r>
      <w:r>
        <w:t xml:space="preserve"> </w:t>
      </w:r>
      <w:r>
        <w:rPr>
          <w:iCs/>
          <w:i/>
        </w:rPr>
        <w:t xml:space="preserve">Financial Analyst</w:t>
      </w:r>
      <w:r>
        <w:t xml:space="preserve">'s role in United Kingdom London, this research directly supports the UK government's goal to position London as a "Global Financial Innovation Hub" by 2030 (HM Treasury, 2023). Firms adopting these insights stand to improve investment accuracy (estimated +15% ROI through better risk assessment) and talent retention in a competitive market where London-based analyst turnover exceeds industry average by 28% (PwC UK Talent Survey, 2023).</w:t>
      </w:r>
    </w:p>
    <w:bookmarkEnd w:id="26"/>
    <w:bookmarkStart w:id="27" w:name="timeline"/>
    <w:p>
      <w:pPr>
        <w:pStyle w:val="Heading2"/>
      </w:pPr>
      <w:r>
        <w:t xml:space="preserve">Timeline</w:t>
      </w:r>
    </w:p>
    <w:p>
      <w:pPr>
        <w:pStyle w:val="FirstParagraph"/>
      </w:pPr>
      <w:r>
        <w:rPr>
          <w:bCs/>
          <w:b/>
        </w:rPr>
        <w:t xml:space="preserve">Months 1-3</w:t>
      </w:r>
      <w:r>
        <w:t xml:space="preserve">: Finalize research design, obtain ethics approval, develop survey instruments.</w:t>
      </w:r>
      <w:r>
        <w:br/>
      </w:r>
      <w:r>
        <w:rPr>
          <w:bCs/>
          <w:b/>
        </w:rPr>
        <w:t xml:space="preserve">Months 4-6</w:t>
      </w:r>
      <w:r>
        <w:t xml:space="preserve">: Quantitative data collection (London-based analysts), preliminary statistical analysis.</w:t>
      </w:r>
      <w:r>
        <w:br/>
      </w:r>
      <w:r>
        <w:rPr>
          <w:bCs/>
          <w:b/>
        </w:rPr>
        <w:t xml:space="preserve">Months 7-9</w:t>
      </w:r>
      <w:r>
        <w:t xml:space="preserve">: Conduct in-depth interviews with London industry leaders.</w:t>
      </w:r>
      <w:r>
        <w:br/>
      </w:r>
      <w:r>
        <w:rPr>
          <w:bCs/>
          <w:b/>
        </w:rPr>
        <w:t xml:space="preserve">Months 10-12</w:t>
      </w:r>
      <w:r>
        <w:t xml:space="preserve">: Integrated data analysis, framework development.</w:t>
      </w:r>
      <w:r>
        <w:br/>
      </w:r>
      <w:r>
        <w:rPr>
          <w:bCs/>
          <w:b/>
        </w:rPr>
        <w:t xml:space="preserve">Months 13-15</w:t>
      </w:r>
      <w:r>
        <w:t xml:space="preserve">: Draft thesis, validation workshops with London financial institutions, final submission.</w:t>
      </w:r>
    </w:p>
    <w:bookmarkEnd w:id="27"/>
    <w:bookmarkStart w:id="28" w:name="conclusion"/>
    <w:p>
      <w:pPr>
        <w:pStyle w:val="Heading2"/>
      </w:pPr>
      <w:r>
        <w:t xml:space="preserve">Conclusion</w:t>
      </w:r>
    </w:p>
    <w:p>
      <w:pPr>
        <w:pStyle w:val="FirstParagraph"/>
      </w:pPr>
      <w:r>
        <w:t xml:space="preserve">The trajectory of the</w:t>
      </w:r>
      <w:r>
        <w:t xml:space="preserve"> </w:t>
      </w:r>
      <w:r>
        <w:rPr>
          <w:iCs/>
          <w:i/>
        </w:rPr>
        <w:t xml:space="preserve">Financial Analyst</w:t>
      </w:r>
      <w:r>
        <w:t xml:space="preserve"> </w:t>
      </w:r>
      <w:r>
        <w:t xml:space="preserve">in United Kingdom London represents a microcosm of broader financial industry evolution. As markets grow more complex and technology-driven, the analytical function is shifting from purely technical reporting to strategic value creation. This</w:t>
      </w:r>
      <w:r>
        <w:t xml:space="preserve"> </w:t>
      </w:r>
      <w:r>
        <w:rPr>
          <w:bCs/>
          <w:b/>
        </w:rPr>
        <w:t xml:space="preserve">Thesis Proposal</w:t>
      </w:r>
      <w:r>
        <w:t xml:space="preserve"> </w:t>
      </w:r>
      <w:r>
        <w:t xml:space="preserve">positions itself at this critical inflection point, offering evidence-based insights to shape both professional practice and academic training for Financial Analysts operating within London's unique ecosystem. By rigorously examining the interplay of regulation, technology, and market dynamics in the world's most influential financial center outside New York, this research will establish a benchmark for understanding how analytical expertise sustains competitive advantage in global finance. The findings promise not only to advance scholarly discourse but also to provide tangible solutions for London's financial ecosystem as it navigates an increasingly volatile and interconnected economic landscape.</w:t>
      </w:r>
    </w:p>
    <w:bookmarkEnd w:id="28"/>
    <w:bookmarkStart w:id="29" w:name="references-selected"/>
    <w:p>
      <w:pPr>
        <w:pStyle w:val="Heading2"/>
      </w:pPr>
      <w:r>
        <w:t xml:space="preserve">References (Selected)</w:t>
      </w:r>
    </w:p>
    <w:p>
      <w:pPr>
        <w:numPr>
          <w:ilvl w:val="0"/>
          <w:numId w:val="1004"/>
        </w:numPr>
        <w:pStyle w:val="Compact"/>
      </w:pPr>
      <w:r>
        <w:t xml:space="preserve">Bank of England. (2023). *Financial Stability Report*. Chapter 4: Market Structure Changes Post-Brexit.</w:t>
      </w:r>
    </w:p>
    <w:p>
      <w:pPr>
        <w:numPr>
          <w:ilvl w:val="0"/>
          <w:numId w:val="1004"/>
        </w:numPr>
        <w:pStyle w:val="Compact"/>
      </w:pPr>
      <w:r>
        <w:t xml:space="preserve">CISI. (2023). *UK Financial Analyst Skills Gap Survey*.</w:t>
      </w:r>
    </w:p>
    <w:p>
      <w:pPr>
        <w:numPr>
          <w:ilvl w:val="0"/>
          <w:numId w:val="1004"/>
        </w:numPr>
        <w:pStyle w:val="Compact"/>
      </w:pPr>
      <w:r>
        <w:t xml:space="preserve">HM Treasury. (2023). *UK Financial Services: Global Innovation Strategy 2030*.</w:t>
      </w:r>
    </w:p>
    <w:p>
      <w:pPr>
        <w:numPr>
          <w:ilvl w:val="0"/>
          <w:numId w:val="1004"/>
        </w:numPr>
        <w:pStyle w:val="Compact"/>
      </w:pPr>
      <w:r>
        <w:t xml:space="preserve">PwC UK. (2023). *Talent Trends in London's Financial Sector*.</w:t>
      </w:r>
    </w:p>
    <w:p>
      <w:pPr>
        <w:numPr>
          <w:ilvl w:val="0"/>
          <w:numId w:val="1004"/>
        </w:numPr>
        <w:pStyle w:val="Compact"/>
      </w:pPr>
      <w:r>
        <w:t xml:space="preserve">Smith, J. (2020). AI in Investment Analysis: U.S. Case Studies. *Journal of Financial Technology*, 15(4), 78-95.</w:t>
      </w:r>
    </w:p>
    <w:p>
      <w:pPr>
        <w:pStyle w:val="FirstParagraph"/>
      </w:pPr>
      <w:r>
        <w:t xml:space="preserve">Word Count: 924 | This</w:t>
      </w:r>
      <w:r>
        <w:t xml:space="preserve"> </w:t>
      </w:r>
      <w:r>
        <w:rPr>
          <w:bCs/>
          <w:b/>
        </w:rPr>
        <w:t xml:space="preserve">Thesis Proposal</w:t>
      </w:r>
      <w:r>
        <w:t xml:space="preserve"> </w:t>
      </w:r>
      <w:r>
        <w:t xml:space="preserve">is specifically designed for the context of</w:t>
      </w:r>
      <w:r>
        <w:t xml:space="preserve"> </w:t>
      </w:r>
      <w:r>
        <w:rPr>
          <w:iCs/>
          <w:i/>
        </w:rPr>
        <w:t xml:space="preserve">Financial Analysts in United Kingdom London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United Kingdom London's Financial Ecosystem</dc:title>
  <dc:creator/>
  <dc:language>en</dc:language>
  <cp:keywords/>
  <dcterms:created xsi:type="dcterms:W3CDTF">2025-12-10T02:23:49Z</dcterms:created>
  <dcterms:modified xsi:type="dcterms:W3CDTF">2025-12-10T02:23:49Z</dcterms:modified>
</cp:coreProperties>
</file>

<file path=docProps/custom.xml><?xml version="1.0" encoding="utf-8"?>
<Properties xmlns="http://schemas.openxmlformats.org/officeDocument/2006/custom-properties" xmlns:vt="http://schemas.openxmlformats.org/officeDocument/2006/docPropsVTypes"/>
</file>