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Shaping</w:t>
      </w:r>
      <w:r>
        <w:t xml:space="preserve"> </w:t>
      </w:r>
      <w:r>
        <w:t xml:space="preserve">Economic</w:t>
      </w:r>
      <w:r>
        <w:t xml:space="preserve"> </w:t>
      </w:r>
      <w:r>
        <w:t xml:space="preserve">Growth</w:t>
      </w:r>
      <w:r>
        <w:t xml:space="preserve"> </w:t>
      </w:r>
      <w:r>
        <w:t xml:space="preserve">in</w:t>
      </w:r>
      <w:r>
        <w:t xml:space="preserve"> </w:t>
      </w:r>
      <w:r>
        <w:t xml:space="preserve">Tashkent,</w:t>
      </w:r>
      <w:r>
        <w:t xml:space="preserve"> </w:t>
      </w:r>
      <w:r>
        <w:t xml:space="preserve">Uzbekistan</w:t>
      </w:r>
    </w:p>
    <w:bookmarkStart w:id="29" w:name="X2fff0d7e5dc8c62fe3bfbeacc7c72ce7bf8a800"/>
    <w:p>
      <w:pPr>
        <w:pStyle w:val="Heading1"/>
      </w:pPr>
      <w:r>
        <w:t xml:space="preserve">Thesis Proposal: The Role of Financial Analysts in Shaping Economic Growth in Tashkent, Uzbekistan</w:t>
      </w:r>
    </w:p>
    <w:bookmarkStart w:id="20" w:name="introduction"/>
    <w:p>
      <w:pPr>
        <w:pStyle w:val="Heading2"/>
      </w:pPr>
      <w:r>
        <w:t xml:space="preserve">1. Introduction</w:t>
      </w:r>
    </w:p>
    <w:p>
      <w:pPr>
        <w:pStyle w:val="FirstParagraph"/>
      </w:pPr>
      <w:r>
        <w:t xml:space="preserve">The rapidly evolving financial landscape of Uzbekistan presents unprecedented opportunities for economic transformation, with Tashkent serving as the epicenter of this financial revolution. As the nation transitions toward a market-oriented economy under its comprehensive reforms initiated in 2017, the demand for skilled Financial Analysts has surged exponentially. This thesis proposal outlines a critical research initiative examining how Financial Analysts contribute to strategic decision-making, risk mitigation, and sustainable growth within Tashkent's dynamic financial ecosystem. Given Uzbekistan's ambition to become a regional economic hub by 2030, understanding the evolving role of Financial Analysts in Tashkent is not merely academic—it is a strategic necessity for policymakers, financial institutions, and business leaders.</w:t>
      </w:r>
    </w:p>
    <w:bookmarkEnd w:id="20"/>
    <w:bookmarkStart w:id="21" w:name="problem-statement"/>
    <w:p>
      <w:pPr>
        <w:pStyle w:val="Heading2"/>
      </w:pPr>
      <w:r>
        <w:t xml:space="preserve">2. Problem Statement</w:t>
      </w:r>
    </w:p>
    <w:p>
      <w:pPr>
        <w:pStyle w:val="FirstParagraph"/>
      </w:pPr>
      <w:r>
        <w:t xml:space="preserve">Despite Uzbekistan's promising economic trajectory—marked by 4.5% average GDP growth from 2019-2023 and the development of Tashkent Financial Center (TFC)—a significant skills gap persists in financial analysis capabilities. Local institutions report that 68% of investment decisions lack rigorous data-driven analysis, while foreign investors cite insufficient local analytical expertise as a primary barrier to deeper market engagement. This deficiency stems from three critical gaps: (1) outdated academic curricula in Tashkent universities failing to align with global Financial Analyst standards; (2) limited professional development pathways for existing analysts; and (3) absence of localized frameworks addressing Uzbekistan's unique economic context, including currency fluctuations, agricultural export dependencies, and evolving regulatory environments. Consequently, the potential of Tashkent as a Central Asian financial hub remains unrealized.</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competency profile of Financial Analysts operating within Tashkent-based institutions (commercial banks, investment firms, and state-owned enterprises).</w:t>
      </w:r>
    </w:p>
    <w:p>
      <w:pPr>
        <w:numPr>
          <w:ilvl w:val="0"/>
          <w:numId w:val="1001"/>
        </w:numPr>
        <w:pStyle w:val="Compact"/>
      </w:pPr>
      <w:r>
        <w:t xml:space="preserve">To identify sector-specific analytical challenges unique to Uzbekistan's economic structure, including foreign exchange volatility and transition economy complexities.</w:t>
      </w:r>
    </w:p>
    <w:p>
      <w:pPr>
        <w:numPr>
          <w:ilvl w:val="0"/>
          <w:numId w:val="1001"/>
        </w:numPr>
        <w:pStyle w:val="Compact"/>
      </w:pPr>
      <w:r>
        <w:t xml:space="preserve">To develop a localized Financial Analyst competency framework integrating international standards (e.g., CFA Institute guidelines) with Uzbekistan's regulatory requirements (e.g., Central Bank of Uzbekistan Circulars No. 03/2021).</w:t>
      </w:r>
    </w:p>
    <w:p>
      <w:pPr>
        <w:numPr>
          <w:ilvl w:val="0"/>
          <w:numId w:val="1001"/>
        </w:numPr>
        <w:pStyle w:val="Compact"/>
      </w:pPr>
      <w:r>
        <w:t xml:space="preserve">To propose evidence-based recommendations for educational institutions in Tashkent to modernize curricula and create industry-academia partnerships.</w:t>
      </w:r>
    </w:p>
    <w:bookmarkEnd w:id="22"/>
    <w:bookmarkStart w:id="23" w:name="literature-review"/>
    <w:p>
      <w:pPr>
        <w:pStyle w:val="Heading2"/>
      </w:pPr>
      <w:r>
        <w:t xml:space="preserve">4. Literature Review</w:t>
      </w:r>
    </w:p>
    <w:p>
      <w:pPr>
        <w:pStyle w:val="FirstParagraph"/>
      </w:pPr>
      <w:r>
        <w:t xml:space="preserve">Existing scholarship on Financial Analysts predominantly focuses on Western markets (e.g., Fama &amp; French, 1992) or emerging economies like India (Bhattacharya et al., 2018), with minimal research addressing post-Soviet transition economies. Recent Uzbek studies by the Academy of Sciences of Uzbekistan (2022) acknowledge financial literacy gaps but neglect the analytical function specifically. The World Bank's 2023 "Uzbekistan Economic Update" identifies weak financial analysis capabilities as a bottleneck for SME development—yet offers no actionable solutions for Financial Analysts in Tashkent. This research bridges that void by centering Uzbekistan's context, drawing parallels with successful transition economies like Poland and Georgia while addressing localized constraints such as limited public financial data accessibility.</w:t>
      </w:r>
    </w:p>
    <w:bookmarkEnd w:id="23"/>
    <w:bookmarkStart w:id="24" w:name="methodology"/>
    <w:p>
      <w:pPr>
        <w:pStyle w:val="Heading2"/>
      </w:pPr>
      <w:r>
        <w:t xml:space="preserve">5. Methodology</w:t>
      </w:r>
    </w:p>
    <w:p>
      <w:pPr>
        <w:pStyle w:val="FirstParagraph"/>
      </w:pPr>
      <w:r>
        <w:t xml:space="preserve">This mixed-methods study will employ three interconnected approaches:</w:t>
      </w:r>
    </w:p>
    <w:p>
      <w:pPr>
        <w:numPr>
          <w:ilvl w:val="0"/>
          <w:numId w:val="1002"/>
        </w:numPr>
        <w:pStyle w:val="Compact"/>
      </w:pPr>
      <w:r>
        <w:rPr>
          <w:bCs/>
          <w:b/>
        </w:rPr>
        <w:t xml:space="preserve">Quantitative Survey:</w:t>
      </w:r>
      <w:r>
        <w:t xml:space="preserve"> </w:t>
      </w:r>
      <w:r>
        <w:t xml:space="preserve">Structured questionnaires distributed to 150+ Financial Analysts across 30 Tashkent institutions (including UzBex, CitiBank Uzbekistan, and the National Bank of Uzbekistan), measuring competency levels against CFA modules and sector-specific challenges.</w:t>
      </w:r>
    </w:p>
    <w:p>
      <w:pPr>
        <w:numPr>
          <w:ilvl w:val="0"/>
          <w:numId w:val="1002"/>
        </w:numPr>
        <w:pStyle w:val="Compact"/>
      </w:pPr>
      <w:r>
        <w:rPr>
          <w:bCs/>
          <w:b/>
        </w:rPr>
        <w:t xml:space="preserve">Qualitative Case Studies:</w:t>
      </w:r>
      <w:r>
        <w:t xml:space="preserve"> </w:t>
      </w:r>
      <w:r>
        <w:t xml:space="preserve">In-depth interviews with 25 senior Financial Analysts and 10 executives from Tashkent's leading financial firms to uncover strategic pain points in risk assessment, investment valuation, and regulatory compliance.</w:t>
      </w:r>
    </w:p>
    <w:p>
      <w:pPr>
        <w:numPr>
          <w:ilvl w:val="0"/>
          <w:numId w:val="1002"/>
        </w:numPr>
        <w:pStyle w:val="Compact"/>
      </w:pPr>
      <w:r>
        <w:rPr>
          <w:bCs/>
          <w:b/>
        </w:rPr>
        <w:t xml:space="preserve">Policy Analysis:</w:t>
      </w:r>
      <w:r>
        <w:t xml:space="preserve"> </w:t>
      </w:r>
      <w:r>
        <w:t xml:space="preserve">Critical review of Uzbekistan's financial regulations (e.g., Law on Securities Market No. ZRU-623) to identify alignment gaps with global Financial Analyst best practices.</w:t>
      </w:r>
    </w:p>
    <w:p>
      <w:pPr>
        <w:pStyle w:val="FirstParagraph"/>
      </w:pPr>
      <w:r>
        <w:t xml:space="preserve">Data collection will occur in Tashkent from October 2024–February 2025, utilizing both digital platforms (for survey distribution) and face-to-face sessions at the Tashkent Stock Exchange. Analysis will employ NVivo for qualitative coding and SPSS for statistical validation, ensuring findings reflect Tashkent's unique socio-economic reality.</w:t>
      </w:r>
    </w:p>
    <w:bookmarkEnd w:id="24"/>
    <w:bookmarkStart w:id="25" w:name="expected-outcomes-significance"/>
    <w:p>
      <w:pPr>
        <w:pStyle w:val="Heading2"/>
      </w:pPr>
      <w:r>
        <w:t xml:space="preserve">6. Expected Outcomes &amp; Significance</w:t>
      </w:r>
    </w:p>
    <w:p>
      <w:pPr>
        <w:pStyle w:val="FirstParagraph"/>
      </w:pPr>
      <w:r>
        <w:t xml:space="preserve">This thesis anticipates three transformative contributions:</w:t>
      </w:r>
    </w:p>
    <w:p>
      <w:pPr>
        <w:numPr>
          <w:ilvl w:val="0"/>
          <w:numId w:val="1003"/>
        </w:numPr>
        <w:pStyle w:val="Compact"/>
      </w:pPr>
      <w:r>
        <w:rPr>
          <w:bCs/>
          <w:b/>
        </w:rPr>
        <w:t xml:space="preserve">Localized Competency Framework:</w:t>
      </w:r>
      <w:r>
        <w:t xml:space="preserve"> </w:t>
      </w:r>
      <w:r>
        <w:t xml:space="preserve">A validated model specifying 12 core competencies for Financial Analysts in Uzbekistan—covering sovereign risk assessment, agricultural commodity analysis, and digital finance trends specific to Tashkent's market.</w:t>
      </w:r>
    </w:p>
    <w:p>
      <w:pPr>
        <w:numPr>
          <w:ilvl w:val="0"/>
          <w:numId w:val="1003"/>
        </w:numPr>
        <w:pStyle w:val="Compact"/>
      </w:pPr>
      <w:r>
        <w:rPr>
          <w:bCs/>
          <w:b/>
        </w:rPr>
        <w:t xml:space="preserve">Educational Roadmap:</w:t>
      </w:r>
      <w:r>
        <w:t xml:space="preserve"> </w:t>
      </w:r>
      <w:r>
        <w:t xml:space="preserve">Concrete proposals for Tashkent universities (e.g., National University of Uzbekistan) to integrate practical Financial Analyst training modules aligned with Central Bank standards and international certifications.</w:t>
      </w:r>
    </w:p>
    <w:p>
      <w:pPr>
        <w:numPr>
          <w:ilvl w:val="0"/>
          <w:numId w:val="1003"/>
        </w:numPr>
        <w:pStyle w:val="Compact"/>
      </w:pPr>
      <w:r>
        <w:rPr>
          <w:bCs/>
          <w:b/>
        </w:rPr>
        <w:t xml:space="preserve">Policymaker Toolkit:</w:t>
      </w:r>
      <w:r>
        <w:t xml:space="preserve"> </w:t>
      </w:r>
      <w:r>
        <w:t xml:space="preserve">A set of policy recommendations for the Ministry of Finance and Central Bank, including incentives for firms to adopt advanced analytical practices and standardized data reporting protocols.</w:t>
      </w:r>
    </w:p>
    <w:p>
      <w:pPr>
        <w:pStyle w:val="FirstParagraph"/>
      </w:pPr>
      <w:r>
        <w:t xml:space="preserve">The significance extends beyond academia: For Tashkent's financial sector, this research could directly enhance investment decision quality, potentially increasing portfolio returns by 8-12% as evidenced in similar transition economies. For Uzbekistan's national development goals, it provides actionable pathways to attract foreign direct investment (FDI) into the Tashkent Financial Center—a critical component of the government's "Uzbekistan 2030" strategy. Most importantly, this work positions Uzbekistan as a pioneer in developing context-specific financial expertise in emerging markets.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Tashkent-Specific Activities</w:t>
            </w:r>
          </w:p>
        </w:tc>
      </w:tr>
      <w:tr>
        <w:tc>
          <w:tcPr/>
          <w:p>
            <w:pPr>
              <w:pStyle w:val="Compact"/>
              <w:jc w:val="left"/>
            </w:pPr>
            <w:r>
              <w:t xml:space="preserve">Literature Review &amp; Framework Design</w:t>
            </w:r>
          </w:p>
        </w:tc>
        <w:tc>
          <w:tcPr/>
          <w:p>
            <w:pPr>
              <w:pStyle w:val="Compact"/>
              <w:jc w:val="left"/>
            </w:pPr>
            <w:r>
              <w:t xml:space="preserve">Months 1-3</w:t>
            </w:r>
          </w:p>
        </w:tc>
        <w:tc>
          <w:tcPr/>
          <w:p>
            <w:pPr>
              <w:pStyle w:val="Compact"/>
              <w:jc w:val="left"/>
            </w:pPr>
            <w:r>
              <w:t xml:space="preserve">Analyze Central Bank regulations; consult Tashkent Financial Center officials</w:t>
            </w:r>
          </w:p>
        </w:tc>
      </w:tr>
      <w:tr>
        <w:tc>
          <w:tcPr/>
          <w:p>
            <w:pPr>
              <w:pStyle w:val="Compact"/>
              <w:jc w:val="left"/>
            </w:pPr>
            <w:r>
              <w:t xml:space="preserve">Data Collection (Surveys &amp; Interviews)</w:t>
            </w:r>
          </w:p>
        </w:tc>
        <w:tc>
          <w:tcPr/>
          <w:p>
            <w:pPr>
              <w:pStyle w:val="Compact"/>
              <w:jc w:val="left"/>
            </w:pPr>
            <w:r>
              <w:t xml:space="preserve">Months 4-6</w:t>
            </w:r>
          </w:p>
        </w:tc>
        <w:tc>
          <w:tcPr/>
          <w:p>
            <w:pPr>
              <w:pStyle w:val="Compact"/>
              <w:jc w:val="left"/>
            </w:pPr>
            <w:r>
              <w:t xml:space="preserve">Conduct fieldwork across Tashkent institutions; partner with Tashkent Chamber of Commerce</w:t>
            </w:r>
          </w:p>
        </w:tc>
      </w:tr>
      <w:tr>
        <w:tc>
          <w:tcPr/>
          <w:p>
            <w:pPr>
              <w:pStyle w:val="Compact"/>
              <w:jc w:val="left"/>
            </w:pPr>
            <w:r>
              <w:t xml:space="preserve">Data Analysis &amp; Framework Validation</w:t>
            </w:r>
          </w:p>
        </w:tc>
        <w:tc>
          <w:tcPr/>
          <w:p>
            <w:pPr>
              <w:pStyle w:val="Compact"/>
              <w:jc w:val="left"/>
            </w:pPr>
            <w:r>
              <w:t xml:space="preserve">Months 7-9</w:t>
            </w:r>
          </w:p>
        </w:tc>
        <w:tc>
          <w:tcPr/>
          <w:p>
            <w:pPr>
              <w:pStyle w:val="Compact"/>
              <w:jc w:val="left"/>
            </w:pPr>
            <w:r>
              <w:t xml:space="preserve">Workshop findings with Financial Analysts at UzBex headquarters in Tashkent</w:t>
            </w:r>
          </w:p>
        </w:tc>
      </w:tr>
      <w:tr>
        <w:tc>
          <w:tcPr/>
          <w:p>
            <w:pPr>
              <w:pStyle w:val="Compact"/>
              <w:jc w:val="left"/>
            </w:pPr>
            <w:r>
              <w:t xml:space="preserve">Dissertation Writing &amp; Policy Recommendations</w:t>
            </w:r>
          </w:p>
        </w:tc>
        <w:tc>
          <w:tcPr/>
          <w:p>
            <w:pPr>
              <w:pStyle w:val="Compact"/>
              <w:jc w:val="left"/>
            </w:pPr>
            <w:r>
              <w:t xml:space="preserve">Months 10-12</w:t>
            </w:r>
          </w:p>
        </w:tc>
        <w:tc>
          <w:tcPr/>
          <w:p>
            <w:pPr>
              <w:pStyle w:val="Compact"/>
              <w:jc w:val="left"/>
            </w:pPr>
            <w:r>
              <w:t xml:space="preserve">Presentation to Ministry of Finance in Tashkent; stakeholder feedback session</w:t>
            </w:r>
          </w:p>
        </w:tc>
      </w:tr>
    </w:tbl>
    <w:bookmarkEnd w:id="26"/>
    <w:bookmarkStart w:id="27" w:name="conclusion"/>
    <w:p>
      <w:pPr>
        <w:pStyle w:val="Heading2"/>
      </w:pPr>
      <w:r>
        <w:t xml:space="preserve">8. Conclusion</w:t>
      </w:r>
    </w:p>
    <w:p>
      <w:pPr>
        <w:pStyle w:val="FirstParagraph"/>
      </w:pPr>
      <w:r>
        <w:t xml:space="preserve">The role of Financial Analysts in Uzbekistan Tashkent transcends technical analysis—it is the cornerstone of economic modernization. As Uzbekistan accelerates its integration into global markets through initiatives like the Central Asia Regional Economic Cooperation (CAREC) Program, this research will establish a blueprint for cultivating analytical excellence tailored to Tashkent's distinct market dynamics. By directly addressing the competencies that drive investment confidence and policy efficacy, this thesis will empower Financial Analysts not merely as data interpreters but as architects of Uzbekistan's financial future. The outcomes will serve as a replicable model for other emerging economies while positioning Tashkent at the forefront of Central Asia's financial innovation—a critical step in fulfilling Uzbekistan’s vision to become an economic powerhouse by 2040.</w:t>
      </w:r>
    </w:p>
    <w:bookmarkEnd w:id="27"/>
    <w:bookmarkStart w:id="28" w:name="references"/>
    <w:p>
      <w:pPr>
        <w:pStyle w:val="Heading2"/>
      </w:pPr>
      <w:r>
        <w:t xml:space="preserve">9. References</w:t>
      </w:r>
    </w:p>
    <w:p>
      <w:pPr>
        <w:numPr>
          <w:ilvl w:val="0"/>
          <w:numId w:val="1004"/>
        </w:numPr>
        <w:pStyle w:val="Compact"/>
      </w:pPr>
      <w:r>
        <w:t xml:space="preserve">World Bank. (2023). *Uzbekistan Economic Update: Navigating the Path to Sustainable Growth*. Tashkent: World Bank Group.</w:t>
      </w:r>
    </w:p>
    <w:p>
      <w:pPr>
        <w:numPr>
          <w:ilvl w:val="0"/>
          <w:numId w:val="1004"/>
        </w:numPr>
        <w:pStyle w:val="Compact"/>
      </w:pPr>
      <w:r>
        <w:t xml:space="preserve">Central Bank of Uzbekistan. (2021). *Regulatory Framework for Financial Analysis in Securities Market*. Circular No. 03/2021.</w:t>
      </w:r>
    </w:p>
    <w:p>
      <w:pPr>
        <w:numPr>
          <w:ilvl w:val="0"/>
          <w:numId w:val="1004"/>
        </w:numPr>
        <w:pStyle w:val="Compact"/>
      </w:pPr>
      <w:r>
        <w:t xml:space="preserve">Academy of Sciences of Uzbekistan. (2022). *Financial Literacy and Economic Development: A Case Study of Tashkent*. Tashkent Publishing House.</w:t>
      </w:r>
    </w:p>
    <w:p>
      <w:pPr>
        <w:numPr>
          <w:ilvl w:val="0"/>
          <w:numId w:val="1004"/>
        </w:numPr>
        <w:pStyle w:val="Compact"/>
      </w:pPr>
      <w:r>
        <w:t xml:space="preserve">CFA Institute. (2023). *Global Investment Performance Standards (GIPS) for Emerging Markets*.</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Financial Analysts in Shaping Economic Growth in Tashkent, Uzbekistan</dc:title>
  <dc:creator/>
  <dc:language>en</dc:language>
  <cp:keywords/>
  <dcterms:created xsi:type="dcterms:W3CDTF">2026-07-21T10:33:37Z</dcterms:created>
  <dcterms:modified xsi:type="dcterms:W3CDTF">2026-07-21T10:33:37Z</dcterms:modified>
</cp:coreProperties>
</file>

<file path=docProps/custom.xml><?xml version="1.0" encoding="utf-8"?>
<Properties xmlns="http://schemas.openxmlformats.org/officeDocument/2006/custom-properties" xmlns:vt="http://schemas.openxmlformats.org/officeDocument/2006/docPropsVTypes"/>
</file>