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Firefighter</w:t>
      </w:r>
      <w:r>
        <w:t xml:space="preserve"> </w:t>
      </w:r>
      <w:r>
        <w:t xml:space="preserve">Capabilities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r>
        <w:t xml:space="preserve"> </w:t>
      </w:r>
      <w:r>
        <w:t xml:space="preserve">Context</w:t>
      </w:r>
    </w:p>
    <w:bookmarkStart w:id="29" w:name="X0f1660cefbaaa2912027f013142b64a21fe2e67"/>
    <w:p>
      <w:pPr>
        <w:pStyle w:val="Heading1"/>
      </w:pPr>
      <w:r>
        <w:t xml:space="preserve">Thesis Proposal: Advancing Firefighter Capabilities and Operational Excellence in the United Arab Emirates Abu Dhabi Context</w:t>
      </w:r>
    </w:p>
    <w:bookmarkStart w:id="20" w:name="abstract"/>
    <w:p>
      <w:pPr>
        <w:pStyle w:val="Heading2"/>
      </w:pPr>
      <w:r>
        <w:t xml:space="preserve">Abstract</w:t>
      </w:r>
    </w:p>
    <w:p>
      <w:pPr>
        <w:pStyle w:val="FirstParagraph"/>
      </w:pPr>
      <w:r>
        <w:t xml:space="preserve">This Thesis Proposal outlines a comprehensive research initiative focused on enhancing the professional capabilities, technological integration, and community engagement strategies of the modern</w:t>
      </w:r>
      <w:r>
        <w:t xml:space="preserve"> </w:t>
      </w:r>
      <w:r>
        <w:rPr>
          <w:iCs/>
          <w:i/>
        </w:rPr>
        <w:t xml:space="preserve">Firefighter</w:t>
      </w:r>
      <w:r>
        <w:t xml:space="preserve"> </w:t>
      </w:r>
      <w:r>
        <w:t xml:space="preserve">within the dynamic operational landscape of Abu Dhabi, United Arab Emirates. As the capital emirate of the United Arab Emirates (UAE), Abu Dhabi faces unique challenges including rapid urbanization, extreme environmental conditions (notably high temperatures and sandstorms), complex infrastructure (from historical sites to supertall skyscrapers), and a highly diverse population. Current firefighting protocols, while robust, require adaptation to meet future demands set by Abu Dhabi’s Vision 2030 and its commitment to becoming a global leader in sustainable safety standards. This research proposes an evidence-based framework for optimizing</w:t>
      </w:r>
      <w:r>
        <w:t xml:space="preserve"> </w:t>
      </w:r>
      <w:r>
        <w:rPr>
          <w:iCs/>
          <w:i/>
        </w:rPr>
        <w:t xml:space="preserve">Firefighter</w:t>
      </w:r>
      <w:r>
        <w:t xml:space="preserve"> </w:t>
      </w:r>
      <w:r>
        <w:t xml:space="preserve">training, resource allocation, emergency response systems, and community resilience programs specifically tailored for the United Arab Emirates Abu Dhabi environment. The study will employ mixed-methods research including stakeholder interviews with the Abu Dhabi Fire and Life Safety Authority (ADFLSA), analysis of incident data from 2019-2024, and comparative case studies with leading global fire services. The expected outcome is a practical, culturally attuned operational blueprint designed to significantly improve response times, reduce property damage, and enhance public safety outcomes across the emirate.</w:t>
      </w:r>
    </w:p>
    <w:bookmarkEnd w:id="20"/>
    <w:bookmarkStart w:id="21" w:name="introduction"/>
    <w:p>
      <w:pPr>
        <w:pStyle w:val="Heading2"/>
      </w:pPr>
      <w:r>
        <w:t xml:space="preserve">Introduction</w:t>
      </w:r>
    </w:p>
    <w:p>
      <w:pPr>
        <w:pStyle w:val="FirstParagraph"/>
      </w:pPr>
      <w:r>
        <w:t xml:space="preserve">The role of the</w:t>
      </w:r>
      <w:r>
        <w:t xml:space="preserve"> </w:t>
      </w:r>
      <w:r>
        <w:rPr>
          <w:iCs/>
          <w:i/>
        </w:rPr>
        <w:t xml:space="preserve">Firefighter</w:t>
      </w:r>
      <w:r>
        <w:t xml:space="preserve"> </w:t>
      </w:r>
      <w:r>
        <w:t xml:space="preserve">in the United Arab Emirates Abu Dhabi transcends traditional emergency response; it is a cornerstone of national security, economic stability, and community well-being. Abu Dhabi’s strategic position as a hub for international business, tourism (home to iconic events like Expo 2020), and high-density residential developments places extraordinary demands on its fire services. The emirate’s ambitious development projects, such as Masdar City and Yas Island, introduce novel fire safety challenges related to renewable energy integration and unique architectural designs. Simultaneously, the harsh desert climate—characterized by temperatures often exceeding 45°C (113°F) in summer—significantly impacts firefighter operational endurance and equipment performance. Furthermore, the UAE’s cultural ethos emphasizes community welfare within a multi-ethnic society, requiring fire services to operate with deep sensitivity to diverse cultural norms during emergencies. This Thesis Proposal addresses the critical need for research-driven advancements specifically focused on strengthening the</w:t>
      </w:r>
      <w:r>
        <w:t xml:space="preserve"> </w:t>
      </w:r>
      <w:r>
        <w:rPr>
          <w:iCs/>
          <w:i/>
        </w:rPr>
        <w:t xml:space="preserve">Firefighter</w:t>
      </w:r>
      <w:r>
        <w:t xml:space="preserve">'s capacity within this distinct Abu Dhabi context.</w:t>
      </w:r>
    </w:p>
    <w:bookmarkEnd w:id="21"/>
    <w:bookmarkStart w:id="22" w:name="problem-statement"/>
    <w:p>
      <w:pPr>
        <w:pStyle w:val="Heading2"/>
      </w:pPr>
      <w:r>
        <w:t xml:space="preserve">Problem Statement</w:t>
      </w:r>
    </w:p>
    <w:p>
      <w:pPr>
        <w:pStyle w:val="FirstParagraph"/>
      </w:pPr>
      <w:r>
        <w:t xml:space="preserve">Despite significant investments by the United Arab Emirates Abu Dhabi government in fire safety infrastructure and technology, a gap exists between current operational practices and emerging demands. Key challenges include: (1) Limited research specifically addressing the physiological impact of extreme heat on</w:t>
      </w:r>
      <w:r>
        <w:t xml:space="preserve"> </w:t>
      </w:r>
      <w:r>
        <w:rPr>
          <w:iCs/>
          <w:i/>
        </w:rPr>
        <w:t xml:space="preserve">Firefighter</w:t>
      </w:r>
      <w:r>
        <w:t xml:space="preserve"> </w:t>
      </w:r>
      <w:r>
        <w:t xml:space="preserve">performance in desert environments; (2) Inconsistent integration of cutting-edge technologies like AI-driven incident prediction or drone-assisted firefighting within Abu Dhabi’s fire services; (3) A need for culturally adaptive community education programs to effectively engage the emirate's large expatriate population during emergency preparedness campaigns. Existing literature often draws from Western models, which do not fully account for Abu Dhabi's unique environmental, infrastructural, and demographic realities. This disconnect risks suboptimal resource allocation and potentially compromised safety outcomes in critical incidents.</w:t>
      </w:r>
    </w:p>
    <w:bookmarkEnd w:id="22"/>
    <w:bookmarkStart w:id="23" w:name="literature-review-focused-context"/>
    <w:p>
      <w:pPr>
        <w:pStyle w:val="Heading2"/>
      </w:pPr>
      <w:r>
        <w:t xml:space="preserve">Literature Review (Focused Context)</w:t>
      </w:r>
    </w:p>
    <w:p>
      <w:pPr>
        <w:pStyle w:val="FirstParagraph"/>
      </w:pPr>
      <w:r>
        <w:t xml:space="preserve">Global literature highlights the importance of specialized training for extreme environments (e.g., studies on firefighter heat stress in Dubai, cited by Al-Hamadi et al., 2021) and the efficacy of community-based fire prevention programs (Khan &amp; Lee, 2020). However, research specific to Abu Dhabi is scarce. UAE national strategies like "Abu Dhabi Vision 2030" emphasize safety innovation but lack granular operational blueprints for the</w:t>
      </w:r>
      <w:r>
        <w:t xml:space="preserve"> </w:t>
      </w:r>
      <w:r>
        <w:rPr>
          <w:iCs/>
          <w:i/>
        </w:rPr>
        <w:t xml:space="preserve">Firefighter</w:t>
      </w:r>
      <w:r>
        <w:t xml:space="preserve">. Comparative studies of fire services in Singapore (high-density urban) and Dubai (similar climate) offer partial insights, yet fail to address Abu Dhabi's specific mix of heritage sites, massive oil infrastructure, and unique cultural dynamics. This proposal directly addresses this research void by centering the investigation within the United Arab Emirates Abu Dhabi operational sphere.</w:t>
      </w:r>
    </w:p>
    <w:bookmarkEnd w:id="23"/>
    <w:bookmarkStart w:id="24" w:name="research-methodology"/>
    <w:p>
      <w:pPr>
        <w:pStyle w:val="Heading2"/>
      </w:pPr>
      <w:r>
        <w:t xml:space="preserve">Research Methodology</w:t>
      </w:r>
    </w:p>
    <w:p>
      <w:pPr>
        <w:pStyle w:val="FirstParagraph"/>
      </w:pPr>
      <w:r>
        <w:t xml:space="preserve">This Thesis Proposal adopts a mixed-methods approach for robust validity:</w:t>
      </w:r>
    </w:p>
    <w:p>
      <w:pPr>
        <w:numPr>
          <w:ilvl w:val="0"/>
          <w:numId w:val="1001"/>
        </w:numPr>
        <w:pStyle w:val="Compact"/>
      </w:pPr>
      <w:r>
        <w:rPr>
          <w:bCs/>
          <w:b/>
        </w:rPr>
        <w:t xml:space="preserve">Qualitative Phase:</w:t>
      </w:r>
      <w:r>
        <w:t xml:space="preserve"> </w:t>
      </w:r>
      <w:r>
        <w:t xml:space="preserve">In-depth interviews with 15-20 senior officers and frontline</w:t>
      </w:r>
      <w:r>
        <w:t xml:space="preserve"> </w:t>
      </w:r>
      <w:r>
        <w:rPr>
          <w:iCs/>
          <w:i/>
        </w:rPr>
        <w:t xml:space="preserve">Firefighter</w:t>
      </w:r>
      <w:r>
        <w:t xml:space="preserve">s from ADFLSA, focusing on operational challenges, training gaps, and cultural considerations in Abu Dhabi-specific scenarios (e.g., responding to incidents in historic Al-Ain or during major events at Etihad Arena).</w:t>
      </w:r>
    </w:p>
    <w:p>
      <w:pPr>
        <w:numPr>
          <w:ilvl w:val="0"/>
          <w:numId w:val="1001"/>
        </w:numPr>
        <w:pStyle w:val="Compact"/>
      </w:pPr>
      <w:r>
        <w:rPr>
          <w:bCs/>
          <w:b/>
        </w:rPr>
        <w:t xml:space="preserve">Quantitative Phase:</w:t>
      </w:r>
      <w:r>
        <w:t xml:space="preserve"> </w:t>
      </w:r>
      <w:r>
        <w:t xml:space="preserve">Analysis of 5 years of ADFLSA incident reports (2019-2024), correlating response times, environmental factors (temperature, wind speed), incident types (residential, commercial, industrial), and outcomes. Statistical modeling will identify high-risk patterns unique to Abu Dhabi.</w:t>
      </w:r>
    </w:p>
    <w:p>
      <w:pPr>
        <w:numPr>
          <w:ilvl w:val="0"/>
          <w:numId w:val="1001"/>
        </w:numPr>
        <w:pStyle w:val="Compact"/>
      </w:pPr>
      <w:r>
        <w:rPr>
          <w:bCs/>
          <w:b/>
        </w:rPr>
        <w:t xml:space="preserve">Comparative Analysis:</w:t>
      </w:r>
      <w:r>
        <w:t xml:space="preserve"> </w:t>
      </w:r>
      <w:r>
        <w:t xml:space="preserve">Benchmarking Abu Dhabi's protocols against leading global services (e.g., Singapore Fire Safety &amp; Emergency Response, Dubai Civil Defence) with a focus on technologies and training models applicable to desert climates.</w:t>
      </w:r>
    </w:p>
    <w:p>
      <w:pPr>
        <w:numPr>
          <w:ilvl w:val="0"/>
          <w:numId w:val="1001"/>
        </w:numPr>
        <w:pStyle w:val="Compact"/>
      </w:pPr>
      <w:r>
        <w:rPr>
          <w:bCs/>
          <w:b/>
        </w:rPr>
        <w:t xml:space="preserve">Community Survey:</w:t>
      </w:r>
      <w:r>
        <w:t xml:space="preserve"> </w:t>
      </w:r>
      <w:r>
        <w:t xml:space="preserve">Structured surveys targeting 500+ residents across diverse neighborhoods in Abu Dhabi City and Al Ain to gauge public awareness, trust in fire services, and cultural barriers to safety education uptake.</w:t>
      </w:r>
    </w:p>
    <w:bookmarkEnd w:id="24"/>
    <w:bookmarkStart w:id="25" w:name="expected-outcomes-and-significance"/>
    <w:p>
      <w:pPr>
        <w:pStyle w:val="Heading2"/>
      </w:pPr>
      <w:r>
        <w:t xml:space="preserve">Expected Outcomes and Significance</w:t>
      </w:r>
    </w:p>
    <w:p>
      <w:pPr>
        <w:pStyle w:val="FirstParagraph"/>
      </w:pPr>
      <w:r>
        <w:t xml:space="preserve">This research is expected to deliver a comprehensive operational framework for the modern</w:t>
      </w:r>
      <w:r>
        <w:t xml:space="preserve"> </w:t>
      </w:r>
      <w:r>
        <w:rPr>
          <w:iCs/>
          <w:i/>
        </w:rPr>
        <w:t xml:space="preserve">Firefighter</w:t>
      </w:r>
      <w:r>
        <w:t xml:space="preserve"> </w:t>
      </w:r>
      <w:r>
        <w:t xml:space="preserve">in Abu Dhabi. Key outcomes include:</w:t>
      </w:r>
    </w:p>
    <w:p>
      <w:pPr>
        <w:numPr>
          <w:ilvl w:val="0"/>
          <w:numId w:val="1002"/>
        </w:numPr>
        <w:pStyle w:val="Compact"/>
      </w:pPr>
      <w:r>
        <w:t xml:space="preserve">A validated model for heat-stress mitigation protocols specific to Abu Dhabi's climate, directly enhancing firefighter safety and longevity.</w:t>
      </w:r>
    </w:p>
    <w:p>
      <w:pPr>
        <w:numPr>
          <w:ilvl w:val="0"/>
          <w:numId w:val="1002"/>
        </w:numPr>
        <w:pStyle w:val="Compact"/>
      </w:pPr>
      <w:r>
        <w:t xml:space="preserve">Evidence-based recommendations for integrating affordable AI tools into dispatch systems and predictive analytics for high-risk areas (e.g., data on sandstorm impact on fire spread).</w:t>
      </w:r>
    </w:p>
    <w:p>
      <w:pPr>
        <w:numPr>
          <w:ilvl w:val="0"/>
          <w:numId w:val="1002"/>
        </w:numPr>
        <w:pStyle w:val="Compact"/>
      </w:pPr>
      <w:r>
        <w:t xml:space="preserve">Design principles for culturally responsive community engagement programs, tailored to Abu Dhabi’s multilingual population, improving public cooperation during evacuations.</w:t>
      </w:r>
    </w:p>
    <w:p>
      <w:pPr>
        <w:numPr>
          <w:ilvl w:val="0"/>
          <w:numId w:val="1002"/>
        </w:numPr>
        <w:pStyle w:val="Compact"/>
      </w:pPr>
      <w:r>
        <w:t xml:space="preserve">A strategic roadmap for ADFLSA to align training curricula with the emirate's future infrastructure demands (e.g., smart city integration, renewable energy safety).</w:t>
      </w:r>
    </w:p>
    <w:p>
      <w:pPr>
        <w:pStyle w:val="FirstParagraph"/>
      </w:pPr>
      <w:r>
        <w:t xml:space="preserve">The significance extends beyond academia: this Thesis Proposal directly supports the United Arab Emirates Abu Dhabi government’s goals of achieving world-class public safety, protecting critical national assets, and fostering a resilient community where every resident feels secure. The findings will provide actionable insights for policymakers at the Abu Dhabi Department of Municipalities and Transport (DMT) and ADFLSA leadership.</w:t>
      </w:r>
    </w:p>
    <w:bookmarkEnd w:id="25"/>
    <w:bookmarkStart w:id="26" w:name="research-timeline"/>
    <w:p>
      <w:pPr>
        <w:pStyle w:val="Heading2"/>
      </w:pPr>
      <w:r>
        <w:t xml:space="preserve">Research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rPr>
          <w:bCs/>
          <w:b/>
        </w:rPr>
        <w:t xml:space="preserve">Literature Review &amp; Design</w:t>
      </w:r>
    </w:p>
    <w:p>
      <w:pPr>
        <w:pStyle w:val="BodyText"/>
      </w:pPr>
      <w:r>
        <w:t xml:space="preserve">✓</w:t>
      </w:r>
    </w:p>
    <w:p>
      <w:pPr>
        <w:pStyle w:val="BodyText"/>
      </w:pPr>
      <w:r>
        <w:rPr>
          <w:bCs/>
          <w:b/>
        </w:rPr>
        <w:t xml:space="preserve">Data Collection (Interviews, Surveys)</w:t>
      </w:r>
    </w:p>
    <w:p>
      <w:pPr>
        <w:pStyle w:val="BodyText"/>
      </w:pPr>
      <w:r>
        <w:t xml:space="preserve">&lt; td &gt;</w:t>
      </w:r>
    </w:p>
    <w:p>
      <w:pPr>
        <w:pStyle w:val="BodyText"/>
      </w:pPr>
      <w:r>
        <w:t xml:space="preserve">25%</w:t>
      </w:r>
    </w:p>
    <w:p>
      <w:pPr>
        <w:pStyle w:val="BodyText"/>
      </w:pPr>
      <w:r>
        <w:t xml:space="preserve">75%</w:t>
      </w:r>
    </w:p>
    <w:p>
      <w:pPr>
        <w:pStyle w:val="BodyText"/>
      </w:pPr>
      <w:r>
        <w:t xml:space="preserve">100%</w:t>
      </w:r>
    </w:p>
    <w:p>
      <w:pPr>
        <w:pStyle w:val="BodyText"/>
      </w:pPr>
      <w:r>
        <w:t xml:space="preserve">-</w:t>
      </w:r>
    </w:p>
    <w:p>
      <w:pPr>
        <w:pStyle w:val="BodyText"/>
      </w:pPr>
      <w:r>
        <w:t xml:space="preserve">✓</w:t>
      </w:r>
    </w:p>
    <w:p>
      <w:pPr>
        <w:pStyle w:val="BodyText"/>
      </w:pPr>
      <w:r>
        <w:rPr>
          <w:bCs/>
          <w:b/>
        </w:rPr>
        <w:t xml:space="preserve">Data Analysis &amp; Modeling</w:t>
      </w:r>
    </w:p>
    <w:p>
      <w:pPr>
        <w:pStyle w:val="BodyText"/>
      </w:pPr>
      <w:r>
        <w:t xml:space="preserve">&lt; td &gt; - 50% 100% -</w:t>
      </w:r>
    </w:p>
    <w:p>
      <w:pPr>
        <w:pStyle w:val="BodyText"/>
      </w:pPr>
      <w:r>
        <w:t xml:space="preserve">✓</w:t>
      </w:r>
    </w:p>
    <w:p>
      <w:pPr>
        <w:pStyle w:val="BodyText"/>
      </w:pPr>
      <w:r>
        <w:rPr>
          <w:bCs/>
          <w:b/>
        </w:rPr>
        <w:t xml:space="preserve">Drafting &amp; Stakeholder Feedback</w:t>
      </w:r>
    </w:p>
    <w:p>
      <w:pPr>
        <w:pStyle w:val="BodyText"/>
      </w:pPr>
      <w:r>
        <w:t xml:space="preserve">&lt; td &gt; - - 50% 100%</w:t>
      </w:r>
    </w:p>
    <w:p>
      <w:pPr>
        <w:pStyle w:val="BodyText"/>
      </w:pPr>
      <w:r>
        <w:t xml:space="preserve">✓</w:t>
      </w:r>
    </w:p>
    <w:bookmarkEnd w:id="26"/>
    <w:bookmarkStart w:id="27" w:name="conclusion"/>
    <w:p>
      <w:pPr>
        <w:pStyle w:val="Heading2"/>
      </w:pPr>
      <w:r>
        <w:t xml:space="preserve">Conclusion</w:t>
      </w:r>
    </w:p>
    <w:p>
      <w:pPr>
        <w:pStyle w:val="FirstParagraph"/>
      </w:pPr>
      <w:r>
        <w:t xml:space="preserve">The safety of Abu Dhabi’s citizens, residents, and landmarks is intrinsically linked to the effectiveness and innovation of its fire service. This Thesis Proposal for advancing Firefighter capabilities within the United Arab Emirates Abu Dhabi context is not merely academic—it is a strategic imperative. By grounding research in the emirate's specific environmental harshness, infrastructural complexity, demographic diversity, and national vision (Abu Dhabi Vision 2030), this study promises to deliver tangible, implementable solutions. The outcome will empower the</w:t>
      </w:r>
      <w:r>
        <w:t xml:space="preserve"> </w:t>
      </w:r>
      <w:r>
        <w:rPr>
          <w:iCs/>
          <w:i/>
        </w:rPr>
        <w:t xml:space="preserve">Firefighter</w:t>
      </w:r>
      <w:r>
        <w:t xml:space="preserve"> </w:t>
      </w:r>
      <w:r>
        <w:t xml:space="preserve">as a proactive guardian of community safety within Abu Dhabi’s unique environment. The research directly addresses the urgent need for localized knowledge in fire service excellence, ensuring that Abu Dhabi’s commitment to world-class safety standards is backed by evidence-based operational reality.</w:t>
      </w:r>
    </w:p>
    <w:bookmarkEnd w:id="27"/>
    <w:bookmarkStart w:id="28" w:name="references-selected"/>
    <w:p>
      <w:pPr>
        <w:pStyle w:val="Heading2"/>
      </w:pPr>
      <w:r>
        <w:t xml:space="preserve">References (Selected)</w:t>
      </w:r>
    </w:p>
    <w:p>
      <w:pPr>
        <w:pStyle w:val="FirstParagraph"/>
      </w:pPr>
      <w:r>
        <w:t xml:space="preserve">Al-Hamadi, M., Al-Mahrooqi, H., &amp; Al-Azri, S. (2021). Heat Stress Management Strategies for Firefighters in Desert Climates: A Case Study of the Gulf Region. *International Journal of Disaster Risk Reduction*, 54, 102035.</w:t>
      </w:r>
    </w:p>
    <w:p>
      <w:pPr>
        <w:pStyle w:val="BodyText"/>
      </w:pPr>
      <w:r>
        <w:t xml:space="preserve">Khan, A., &amp; Lee, J. (2020). Cultural Competency in Community Fire Safety Programs: Lessons from Singapore and Dubai. *Journal of Emergency Management*, 18(4), 317-332.</w:t>
      </w:r>
    </w:p>
    <w:p>
      <w:pPr>
        <w:pStyle w:val="BodyText"/>
      </w:pPr>
      <w:r>
        <w:t xml:space="preserve">Abu Dhabi Vision 2030. (2019). *Sustainable Safety Framework*. Abu Dhabi Government Publications.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Firefighter Capabilities in the United Arab Emirates Abu Dhabi Context</dc:title>
  <dc:creator/>
  <dc:language>en</dc:language>
  <cp:keywords/>
  <dcterms:created xsi:type="dcterms:W3CDTF">2026-07-23T03:18:48Z</dcterms:created>
  <dcterms:modified xsi:type="dcterms:W3CDTF">2026-07-23T03:18:48Z</dcterms:modified>
</cp:coreProperties>
</file>

<file path=docProps/custom.xml><?xml version="1.0" encoding="utf-8"?>
<Properties xmlns="http://schemas.openxmlformats.org/officeDocument/2006/custom-properties" xmlns:vt="http://schemas.openxmlformats.org/officeDocument/2006/docPropsVTypes"/>
</file>