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Digital</w:t>
      </w:r>
      <w:r>
        <w:t xml:space="preserve"> </w:t>
      </w:r>
      <w:r>
        <w:t xml:space="preserve">Economy</w:t>
      </w:r>
    </w:p>
    <w:bookmarkStart w:id="29" w:name="X813e5735ea12499179349f81f1e58e4a6ffc0b0"/>
    <w:p>
      <w:pPr>
        <w:pStyle w:val="Heading1"/>
      </w:pPr>
      <w:r>
        <w:t xml:space="preserve">Thesis Proposal: The Evolving Role of Graphic Designer in Malaysia Kuala Lumpur's Digital Economy</w:t>
      </w:r>
    </w:p>
    <w:bookmarkStart w:id="20" w:name="introduction"/>
    <w:p>
      <w:pPr>
        <w:pStyle w:val="Heading2"/>
      </w:pPr>
      <w:r>
        <w:t xml:space="preserve">1. Introduction</w:t>
      </w:r>
    </w:p>
    <w:p>
      <w:pPr>
        <w:pStyle w:val="FirstParagraph"/>
      </w:pPr>
      <w:r>
        <w:t xml:space="preserve">The graphic design profession has undergone transformative changes globally, and Malaysia Kuala Lumpur stands as a pivotal hub where these shifts intersect with Southeast Asia's dynamic economic landscape. As the nation accelerates its digital transformation through initiatives like Malaysia Digital Economy Corporation (MDEC) and Smart Nation 2030, the role of the</w:t>
      </w:r>
      <w:r>
        <w:t xml:space="preserve"> </w:t>
      </w:r>
      <w:r>
        <w:rPr>
          <w:iCs/>
          <w:i/>
        </w:rPr>
        <w:t xml:space="preserve">Graphic Designer</w:t>
      </w:r>
      <w:r>
        <w:t xml:space="preserve"> </w:t>
      </w:r>
      <w:r>
        <w:t xml:space="preserve">has evolved from traditional print-focused work to a strategic position driving brand narratives in digital ecosystems. This</w:t>
      </w:r>
      <w:r>
        <w:t xml:space="preserve"> </w:t>
      </w:r>
      <w:r>
        <w:rPr>
          <w:bCs/>
          <w:b/>
        </w:rPr>
        <w:t xml:space="preserve">Thesis Proposal</w:t>
      </w:r>
      <w:r>
        <w:t xml:space="preserve"> </w:t>
      </w:r>
      <w:r>
        <w:t xml:space="preserve">investigates how contemporary</w:t>
      </w:r>
      <w:r>
        <w:t xml:space="preserve"> </w:t>
      </w:r>
      <w:r>
        <w:rPr>
          <w:iCs/>
          <w:i/>
        </w:rPr>
        <w:t xml:space="preserve">Graphic Designer</w:t>
      </w:r>
      <w:r>
        <w:t xml:space="preserve">s in Malaysia Kuala Lumpur navigate industry demands, cultural nuances, and technological advancements while contributing to the nation's creative economy growth. With Kuala Lumpur serving as Malaysia's central business district housing over 70% of the country's creative agencies and tech startups, this research addresses a critical gap: understanding how local designers adapt to global design trends within Malaysia-specific socio-economic contexts.</w:t>
      </w:r>
    </w:p>
    <w:bookmarkEnd w:id="20"/>
    <w:bookmarkStart w:id="21" w:name="problem-statement"/>
    <w:p>
      <w:pPr>
        <w:pStyle w:val="Heading2"/>
      </w:pPr>
      <w:r>
        <w:t xml:space="preserve">2. Problem Statement</w:t>
      </w:r>
    </w:p>
    <w:p>
      <w:pPr>
        <w:pStyle w:val="FirstParagraph"/>
      </w:pPr>
      <w:r>
        <w:t xml:space="preserve">Despite Kuala Lumpur's emergence as a regional design capital, there is insufficient academic inquiry into the professional evolution of the</w:t>
      </w:r>
      <w:r>
        <w:t xml:space="preserve"> </w:t>
      </w:r>
      <w:r>
        <w:rPr>
          <w:iCs/>
          <w:i/>
        </w:rPr>
        <w:t xml:space="preserve">Graphic Designer</w:t>
      </w:r>
      <w:r>
        <w:t xml:space="preserve"> </w:t>
      </w:r>
      <w:r>
        <w:t xml:space="preserve">in Malaysia's digital-first market. Current studies either focus narrowly on Western design theories or examine Malaysian advertising through outdated frameworks that neglect post-pandemic shifts toward social media marketing, AI-driven tools, and multicultural branding. This disconnect creates two urgent challenges: (1) Malaysian design education programs struggle to align curricula with industry needs in Kuala Lumpur's fast-paced digital environment, and (2)</w:t>
      </w:r>
      <w:r>
        <w:t xml:space="preserve"> </w:t>
      </w:r>
      <w:r>
        <w:rPr>
          <w:iCs/>
          <w:i/>
        </w:rPr>
        <w:t xml:space="preserve">Graphic Designer</w:t>
      </w:r>
      <w:r>
        <w:t xml:space="preserve">s face identity crises as they transition from visual communicators to multi-skilled UX/UI strategists. Without evidence-based insights, Malaysia risks falling behind in leveraging its creative sector for economic diversification—a key national priority under the National Creative Economy Policy 2021-2030.</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skillset requirements of Graphic Designer professionals in Kuala Lumpur's digital marketing and tech sectors from 2019–present.</w:t>
      </w:r>
    </w:p>
    <w:p>
      <w:pPr>
        <w:numPr>
          <w:ilvl w:val="0"/>
          <w:numId w:val="1001"/>
        </w:numPr>
        <w:pStyle w:val="Compact"/>
      </w:pPr>
      <w:r>
        <w:t xml:space="preserve">To identify cultural-specific design challenges unique to Malaysia, including multilingual branding (Bahasa Malaysia, English, Mandarin, Tamil) and Islamic aesthetic compliance in commercial projects.</w:t>
      </w:r>
    </w:p>
    <w:p>
      <w:pPr>
        <w:numPr>
          <w:ilvl w:val="0"/>
          <w:numId w:val="1001"/>
        </w:numPr>
        <w:pStyle w:val="Compact"/>
      </w:pPr>
      <w:r>
        <w:t xml:space="preserve">To evaluate how emerging technologies (AI design tools, AR/VR) impact workflow efficiency and creative autonomy for Graphic Designer practitioners in Kuala Lumpur.</w:t>
      </w:r>
    </w:p>
    <w:p>
      <w:pPr>
        <w:numPr>
          <w:ilvl w:val="0"/>
          <w:numId w:val="1001"/>
        </w:numPr>
        <w:pStyle w:val="Compact"/>
      </w:pPr>
      <w:r>
        <w:t xml:space="preserve">To develop a culturally responsive competency framework for Malaysian graphic designers that bridges industry demands with local contextual intelligence.</w:t>
      </w:r>
    </w:p>
    <w:bookmarkEnd w:id="22"/>
    <w:bookmarkStart w:id="23" w:name="literature-review-highlights"/>
    <w:p>
      <w:pPr>
        <w:pStyle w:val="Heading2"/>
      </w:pPr>
      <w:r>
        <w:t xml:space="preserve">4. Literature Review Highlights</w:t>
      </w:r>
    </w:p>
    <w:p>
      <w:pPr>
        <w:pStyle w:val="FirstParagraph"/>
      </w:pPr>
      <w:r>
        <w:t xml:space="preserve">Existing scholarship reveals global design trends (e.g., neomorphism, sustainable design) but rarely centers Southeast Asia. While studies by Lim (2020) on "Design Thinking in ASEAN" acknowledge cultural diversity, they overlook Kuala Lumpur's micro-trends like the rise of "Halal Design" aesthetics for Muslim consumers. Meanwhile, MDEC reports confirm that Malaysia's creative economy contributes RM146 billion annually to GDP—yet no research links this growth directly to</w:t>
      </w:r>
      <w:r>
        <w:t xml:space="preserve"> </w:t>
      </w:r>
      <w:r>
        <w:rPr>
          <w:iCs/>
          <w:i/>
        </w:rPr>
        <w:t xml:space="preserve">Graphic Designer</w:t>
      </w:r>
      <w:r>
        <w:t xml:space="preserve"> </w:t>
      </w:r>
      <w:r>
        <w:t xml:space="preserve">skill evolution. This proposal bridges this gap by contextualizing global design discourse within Malaysia Kuala Lumpur's regulatory environment (e.g., Department of National Unity guidelines) and market realities, such as the 2023 surge in e-commerce brands requiring culturally nuanced digital assets for domestic and international audiences.</w:t>
      </w:r>
    </w:p>
    <w:bookmarkEnd w:id="23"/>
    <w:bookmarkStart w:id="24" w:name="methodology"/>
    <w:p>
      <w:pPr>
        <w:pStyle w:val="Heading2"/>
      </w:pPr>
      <w:r>
        <w:t xml:space="preserve">5. Methodology</w:t>
      </w:r>
    </w:p>
    <w:p>
      <w:pPr>
        <w:pStyle w:val="FirstParagraph"/>
      </w:pPr>
      <w:r>
        <w:t xml:space="preserve">This qualitative study will employ a mixed-methods approach centered on Kuala Lumpur's design ecosystem:</w:t>
      </w:r>
    </w:p>
    <w:p>
      <w:pPr>
        <w:numPr>
          <w:ilvl w:val="0"/>
          <w:numId w:val="1002"/>
        </w:numPr>
        <w:pStyle w:val="Compact"/>
      </w:pPr>
      <w:r>
        <w:rPr>
          <w:bCs/>
          <w:b/>
        </w:rPr>
        <w:t xml:space="preserve">Phase 1: Industry Mapping (3 months)</w:t>
      </w:r>
      <w:r>
        <w:t xml:space="preserve"> </w:t>
      </w:r>
      <w:r>
        <w:t xml:space="preserve">- Analyze 100+ job postings from major KL agencies (e.g., The Creative Group, Dentsu Malaysia) and startups (e.g., Carousell, Grab) to identify evolving skill demands.</w:t>
      </w:r>
    </w:p>
    <w:p>
      <w:pPr>
        <w:numPr>
          <w:ilvl w:val="0"/>
          <w:numId w:val="1002"/>
        </w:numPr>
        <w:pStyle w:val="Compact"/>
      </w:pPr>
      <w:r>
        <w:rPr>
          <w:bCs/>
          <w:b/>
        </w:rPr>
        <w:t xml:space="preserve">Phase 2: Practitioner Interviews (4 months)</w:t>
      </w:r>
      <w:r>
        <w:t xml:space="preserve"> </w:t>
      </w:r>
      <w:r>
        <w:t xml:space="preserve">- Conduct in-depth interviews with 30 Graphic Designer professionals across agencies, in-house teams, and freelancers in Kuala Lumpur, stratified by experience level (junior/senior) and industry vertical (fintech, e-commerce, tourism).</w:t>
      </w:r>
    </w:p>
    <w:p>
      <w:pPr>
        <w:numPr>
          <w:ilvl w:val="0"/>
          <w:numId w:val="1002"/>
        </w:numPr>
        <w:pStyle w:val="Compact"/>
      </w:pPr>
      <w:r>
        <w:rPr>
          <w:bCs/>
          <w:b/>
        </w:rPr>
        <w:t xml:space="preserve">Phase 3: Cultural Context Analysis (2 months)</w:t>
      </w:r>
      <w:r>
        <w:t xml:space="preserve"> </w:t>
      </w:r>
      <w:r>
        <w:t xml:space="preserve">- Examine case studies of successful Malaysian campaigns (e.g., Boost’s Ramadan digital ads) to document culturally specific design strategies.</w:t>
      </w:r>
    </w:p>
    <w:p>
      <w:pPr>
        <w:numPr>
          <w:ilvl w:val="0"/>
          <w:numId w:val="1002"/>
        </w:numPr>
        <w:pStyle w:val="Compact"/>
      </w:pPr>
      <w:r>
        <w:rPr>
          <w:bCs/>
          <w:b/>
        </w:rPr>
        <w:t xml:space="preserve">Data Triangulation</w:t>
      </w:r>
      <w:r>
        <w:t xml:space="preserve"> </w:t>
      </w:r>
      <w:r>
        <w:t xml:space="preserve">- Cross-validate findings with focus groups at Kuala Lumpur University of Creative Technology and MDEC stakeholder workshops.</w:t>
      </w:r>
    </w:p>
    <w:bookmarkEnd w:id="24"/>
    <w:bookmarkStart w:id="25" w:name="expected-outcomes-significance"/>
    <w:p>
      <w:pPr>
        <w:pStyle w:val="Heading2"/>
      </w:pPr>
      <w:r>
        <w:t xml:space="preserve">6. Expected Outcomes &amp; Significance</w:t>
      </w:r>
    </w:p>
    <w:p>
      <w:pPr>
        <w:pStyle w:val="FirstParagraph"/>
      </w:pPr>
      <w:r>
        <w:t xml:space="preserve">This research will produce three key contributions:</w:t>
      </w:r>
    </w:p>
    <w:p>
      <w:pPr>
        <w:numPr>
          <w:ilvl w:val="0"/>
          <w:numId w:val="1003"/>
        </w:numPr>
        <w:pStyle w:val="Compact"/>
      </w:pPr>
      <w:r>
        <w:rPr>
          <w:bCs/>
          <w:b/>
        </w:rPr>
        <w:t xml:space="preserve">A Malaysia-Specific Design Competency Matrix</w:t>
      </w:r>
      <w:r>
        <w:t xml:space="preserve"> </w:t>
      </w:r>
      <w:r>
        <w:t xml:space="preserve">categorizing technical (e.g., Figma, AI tools), cultural (e.g., understanding Malay symbolism in logo design), and strategic (e.g., data-driven campaign planning) skills required for the modern Graphic Designer in Kuala Lumpur.</w:t>
      </w:r>
    </w:p>
    <w:p>
      <w:pPr>
        <w:numPr>
          <w:ilvl w:val="0"/>
          <w:numId w:val="1003"/>
        </w:numPr>
        <w:pStyle w:val="Compact"/>
      </w:pPr>
      <w:r>
        <w:rPr>
          <w:bCs/>
          <w:b/>
        </w:rPr>
        <w:t xml:space="preserve">Policy Recommendations</w:t>
      </w:r>
      <w:r>
        <w:t xml:space="preserve"> </w:t>
      </w:r>
      <w:r>
        <w:t xml:space="preserve">for Malaysian institutions like the Ministry of Education to revamp design curricula, emphasizing digital fluency without sacrificing cultural literacy—addressing the current 42% skill gap reported by Creative Industry Malaysia (2023).</w:t>
      </w:r>
    </w:p>
    <w:p>
      <w:pPr>
        <w:numPr>
          <w:ilvl w:val="0"/>
          <w:numId w:val="1003"/>
        </w:numPr>
        <w:pStyle w:val="Compact"/>
      </w:pPr>
      <w:r>
        <w:rPr>
          <w:bCs/>
          <w:b/>
        </w:rPr>
        <w:t xml:space="preserve">A Framework for "Kuala Lumpur Design Intelligence"</w:t>
      </w:r>
      <w:r>
        <w:t xml:space="preserve"> </w:t>
      </w:r>
      <w:r>
        <w:t xml:space="preserve">that positions local designers as strategic assets in Malaysia's $1.5 trillion digital economy, countering the trend of outsourcing design work to Singapore or India.</w:t>
      </w:r>
    </w:p>
    <w:p>
      <w:pPr>
        <w:pStyle w:val="FirstParagraph"/>
      </w:pPr>
      <w:r>
        <w:t xml:space="preserve">The significance extends beyond academia: By demonstrating how cultural intelligence drives commercial success (e.g., 78% of KL consumers prefer brands with locally resonant visuals per Nielsen Malaysia), this</w:t>
      </w:r>
      <w:r>
        <w:t xml:space="preserve"> </w:t>
      </w:r>
      <w:r>
        <w:rPr>
          <w:bCs/>
          <w:b/>
        </w:rPr>
        <w:t xml:space="preserve">Thesis Proposal</w:t>
      </w:r>
      <w:r>
        <w:t xml:space="preserve"> </w:t>
      </w:r>
      <w:r>
        <w:t xml:space="preserve">will provide actionable insights for businesses seeking to harness Malaysia's creative potential. For the Graphic Designer profession, it establishes a foundation for professional recognition as cultural translators in the nation's digital growth narrative.</w:t>
      </w:r>
    </w:p>
    <w:bookmarkEnd w:id="25"/>
    <w:bookmarkStart w:id="26" w:name="timeline-6-month-research"/>
    <w:p>
      <w:pPr>
        <w:pStyle w:val="Heading2"/>
      </w:pPr>
      <w:r>
        <w:t xml:space="preserve">7. Timeline (6-Month Research)</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&amp; industry data collection (KL design agencies, MDEC reports)</w:t>
            </w:r>
          </w:p>
        </w:tc>
      </w:tr>
      <w:tr>
        <w:tc>
          <w:tcPr/>
          <w:p>
            <w:pPr>
              <w:pStyle w:val="Compact"/>
              <w:jc w:val="left"/>
            </w:pPr>
            <w:r>
              <w:t xml:space="preserve">3-4</w:t>
            </w:r>
          </w:p>
        </w:tc>
        <w:tc>
          <w:tcPr/>
          <w:p>
            <w:pPr>
              <w:pStyle w:val="Compact"/>
              <w:jc w:val="left"/>
            </w:pPr>
            <w:r>
              <w:t xml:space="preserve">Fieldwork: Interview scheduling and cultural context analysis</w:t>
            </w:r>
          </w:p>
        </w:tc>
      </w:tr>
      <w:tr>
        <w:tc>
          <w:tcPr/>
          <w:p>
            <w:pPr>
              <w:pStyle w:val="Compact"/>
              <w:jc w:val="left"/>
            </w:pPr>
            <w:r>
              <w:t xml:space="preserve">5</w:t>
            </w:r>
          </w:p>
        </w:tc>
        <w:tc>
          <w:tcPr/>
          <w:p>
            <w:pPr>
              <w:pStyle w:val="Compact"/>
              <w:jc w:val="left"/>
            </w:pPr>
            <w:r>
              <w:t xml:space="preserve">Data analysis &amp; competency matrix development</w:t>
            </w:r>
          </w:p>
        </w:tc>
      </w:tr>
      <w:tr>
        <w:tc>
          <w:tcPr/>
          <w:p>
            <w:pPr>
              <w:pStyle w:val="Compact"/>
              <w:jc w:val="left"/>
            </w:pPr>
            <w:r>
              <w:t xml:space="preserve">6</w:t>
            </w:r>
          </w:p>
        </w:tc>
        <w:tc>
          <w:tcPr/>
          <w:p>
            <w:pPr>
              <w:pStyle w:val="Compact"/>
              <w:jc w:val="left"/>
            </w:pPr>
            <w:r>
              <w:t xml:space="preserve">Drafting thesis, stakeholder validation workshop in Kuala Lumpur</w:t>
            </w:r>
          </w:p>
        </w:tc>
      </w:tr>
    </w:tbl>
    <w:bookmarkEnd w:id="26"/>
    <w:bookmarkStart w:id="27" w:name="conclusion"/>
    <w:p>
      <w:pPr>
        <w:pStyle w:val="Heading2"/>
      </w:pPr>
      <w:r>
        <w:t xml:space="preserve">8. Conclusion</w:t>
      </w:r>
    </w:p>
    <w:p>
      <w:pPr>
        <w:pStyle w:val="FirstParagraph"/>
      </w:pPr>
      <w:r>
        <w:t xml:space="preserve">In Malaysia Kuala Lumpur's rapidly digitizing economy, the Graphic Designer is no longer a mere visual craftsman but a cultural strategist whose work directly influences brand perception across Malaysia's multicultural consumer base. This</w:t>
      </w:r>
      <w:r>
        <w:t xml:space="preserve"> </w:t>
      </w:r>
      <w:r>
        <w:rPr>
          <w:bCs/>
          <w:b/>
        </w:rPr>
        <w:t xml:space="preserve">Thesis Proposal</w:t>
      </w:r>
      <w:r>
        <w:t xml:space="preserve"> </w:t>
      </w:r>
      <w:r>
        <w:t xml:space="preserve">establishes the critical need to document how local professionals navigate this transformation while respecting national identity and market specificity. By centering our research in Kuala Lumpur—the epicenter of Malaysia's creative innovation—we position this study to deliver unprecedented insights that will shape design education, industry standards, and Malaysia's competitive edge in Southeast Asia’s $45 billion digital advertising market. The findings promise not only academic rigor but tangible value for designers, businesses, and policymakers committed to building a resilient Malaysian creative ecosystem rooted in local context yet globally competitive.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Graphic Designer in Malaysia Kuala Lumpur's Digital Economy</dc:title>
  <dc:creator/>
  <dc:language>en</dc:language>
  <cp:keywords/>
  <dcterms:created xsi:type="dcterms:W3CDTF">2026-07-24T13:19:42Z</dcterms:created>
  <dcterms:modified xsi:type="dcterms:W3CDTF">2026-07-24T13:19:42Z</dcterms:modified>
</cp:coreProperties>
</file>

<file path=docProps/custom.xml><?xml version="1.0" encoding="utf-8"?>
<Properties xmlns="http://schemas.openxmlformats.org/officeDocument/2006/custom-properties" xmlns:vt="http://schemas.openxmlformats.org/officeDocument/2006/docPropsVTypes"/>
</file>