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Creative</w:t>
      </w:r>
      <w:r>
        <w:t xml:space="preserve"> </w:t>
      </w:r>
      <w:r>
        <w:t xml:space="preserve">Economy</w:t>
      </w:r>
    </w:p>
    <w:bookmarkStart w:id="29" w:name="Xf7c1ceead2d0c8ba63f28b8dce3d57a5e908986"/>
    <w:p>
      <w:pPr>
        <w:pStyle w:val="Heading1"/>
      </w:pPr>
      <w:r>
        <w:t xml:space="preserve">Thesis Proposal: The Evolving Role of Graphic Designers in New Zealand Auckland's Creative Economy</w:t>
      </w:r>
    </w:p>
    <w:bookmarkStart w:id="20" w:name="introduction-and-background"/>
    <w:p>
      <w:pPr>
        <w:pStyle w:val="Heading2"/>
      </w:pPr>
      <w:r>
        <w:t xml:space="preserve">1. Introduction and Background</w:t>
      </w:r>
    </w:p>
    <w:p>
      <w:pPr>
        <w:pStyle w:val="FirstParagraph"/>
      </w:pPr>
      <w:r>
        <w:t xml:space="preserve">The graphic design industry in New Zealand, particularly within Auckland—the nation's cultural and economic epicenter—has undergone transformative changes in the digital era. As the primary hub for 35% of New Zealand's creative sector employment (Statistics New Zealand, 2023), Auckland presents a unique case study for understanding how graphic designers navigate globalization, technological disruption, and localized cultural identity. This thesis proposal investigates the evolving professional landscape of Graphic Designers in New Zealand Auckland, addressing critical gaps in contemporary research that often overlook Aotearoa's distinct socio-cultural context. While global design trends dominate discourse, this study centers on how Auckland-based designers reconcile international aesthetics with Māori (Te Ao Māori) and Pacific Island cultural narratives—a vital consideration for a bicultural nation striving for authentic representation.</w:t>
      </w:r>
    </w:p>
    <w:bookmarkEnd w:id="20"/>
    <w:bookmarkStart w:id="21" w:name="problem-statement"/>
    <w:p>
      <w:pPr>
        <w:pStyle w:val="Heading2"/>
      </w:pPr>
      <w:r>
        <w:t xml:space="preserve">2. Problem Statement</w:t>
      </w:r>
    </w:p>
    <w:p>
      <w:pPr>
        <w:pStyle w:val="FirstParagraph"/>
      </w:pPr>
      <w:r>
        <w:t xml:space="preserve">Current literature on graphic design in New Zealand remains fragmented, with most studies focusing either on theoretical frameworks or broad national statistics without Auckland-specific analysis. Crucially, there is no comprehensive research examining how Auckland's Graphic Designers manage the tension between commercial viability and cultural integrity in a market increasingly influenced by international digital platforms. This gap impedes effective professional development strategies for emerging designers and creates misalignment between educational curricula (e.g., Unitec, Massey University) and industry needs. Without understanding how Graphic Designers in Auckland navigate these dynamics, New Zealand risks perpetuating superficial cultural appropriation rather than fostering meaningful Indigenous-led creative expression—a key priority in Aotearoa's national strategy for the arts.</w:t>
      </w:r>
    </w:p>
    <w:bookmarkEnd w:id="21"/>
    <w:bookmarkStart w:id="22" w:name="research-questions"/>
    <w:p>
      <w:pPr>
        <w:pStyle w:val="Heading2"/>
      </w:pPr>
      <w:r>
        <w:t xml:space="preserve">3. Research Questions</w:t>
      </w:r>
    </w:p>
    <w:p>
      <w:pPr>
        <w:numPr>
          <w:ilvl w:val="0"/>
          <w:numId w:val="1001"/>
        </w:numPr>
        <w:pStyle w:val="Compact"/>
      </w:pPr>
      <w:r>
        <w:t xml:space="preserve">How do Graphic Designers in Auckland integrate Māori and Pacific Island cultural principles (e.g., kaitiakitanga, tapu) into contemporary design practice while meeting client demands?</w:t>
      </w:r>
    </w:p>
    <w:p>
      <w:pPr>
        <w:numPr>
          <w:ilvl w:val="0"/>
          <w:numId w:val="1001"/>
        </w:numPr>
        <w:pStyle w:val="Compact"/>
      </w:pPr>
      <w:r>
        <w:t xml:space="preserve">To what extent does Auckland's competitive creative market influence the ethical decision-making of Graphic Designers regarding cultural representation?</w:t>
      </w:r>
    </w:p>
    <w:p>
      <w:pPr>
        <w:numPr>
          <w:ilvl w:val="0"/>
          <w:numId w:val="1001"/>
        </w:numPr>
        <w:pStyle w:val="Compact"/>
      </w:pPr>
      <w:r>
        <w:t xml:space="preserve">What professional development needs exist for Graphic Designers in Auckland to enhance their capacity for culturally responsive design within New Zealand's unique socio-political context?</w:t>
      </w:r>
    </w:p>
    <w:bookmarkEnd w:id="22"/>
    <w:bookmarkStart w:id="23" w:name="literature-review-key-themes"/>
    <w:p>
      <w:pPr>
        <w:pStyle w:val="Heading2"/>
      </w:pPr>
      <w:r>
        <w:t xml:space="preserve">4. Literature Review (Key Themes)</w:t>
      </w:r>
    </w:p>
    <w:p>
      <w:pPr>
        <w:pStyle w:val="FirstParagraph"/>
      </w:pPr>
      <w:r>
        <w:t xml:space="preserve">Existing scholarship reveals two critical tensions: First, the "global-local" paradox (Said, 1993) where Auckland designers must balance international design standards against Aotearoa's bicultural foundation. Second, the under-examination of Māori-centered design methodologies—despite initiatives like Te Pūtahi-a-Toi (2020) urging culturally grounded creative practices. Local studies by Duff et al. (2019) note Auckland's design studios increasingly seek "cultural consultants," yet no research tracks how these collaborations affect project outcomes. Concurrently, the rise of digital platforms has intensified competition from offshore agencies, compressing design fees and reducing opportunities for designers to engage deeply with cultural narratives (Creative New Zealand, 2022). This thesis will bridge these gaps by centering Auckland's on-the-ground realities.</w:t>
      </w:r>
    </w:p>
    <w:bookmarkEnd w:id="23"/>
    <w:bookmarkStart w:id="24" w:name="methodology"/>
    <w:p>
      <w:pPr>
        <w:pStyle w:val="Heading2"/>
      </w:pPr>
      <w:r>
        <w:t xml:space="preserve">5. Methodology</w:t>
      </w:r>
    </w:p>
    <w:p>
      <w:pPr>
        <w:pStyle w:val="FirstParagraph"/>
      </w:pPr>
      <w:r>
        <w:t xml:space="preserve">This qualitative study employs a multi-method approach grounded in Kaupapa Māori research principles, ensuring ethical engagement with Indigenous perspectives:</w:t>
      </w:r>
    </w:p>
    <w:p>
      <w:pPr>
        <w:numPr>
          <w:ilvl w:val="0"/>
          <w:numId w:val="1002"/>
        </w:numPr>
        <w:pStyle w:val="Compact"/>
      </w:pPr>
      <w:r>
        <w:rPr>
          <w:bCs/>
          <w:b/>
        </w:rPr>
        <w:t xml:space="preserve">Phase 1: Critical Discourse Analysis (CDA)</w:t>
      </w:r>
      <w:r>
        <w:t xml:space="preserve"> </w:t>
      </w:r>
      <w:r>
        <w:t xml:space="preserve">of 50+ Auckland-based design portfolios and client contracts to identify cultural representation patterns.</w:t>
      </w:r>
    </w:p>
    <w:p>
      <w:pPr>
        <w:numPr>
          <w:ilvl w:val="0"/>
          <w:numId w:val="1002"/>
        </w:numPr>
        <w:pStyle w:val="Compact"/>
      </w:pPr>
      <w:r>
        <w:rPr>
          <w:bCs/>
          <w:b/>
        </w:rPr>
        <w:t xml:space="preserve">Phase 2: Semi-structured Interviews</w:t>
      </w:r>
      <w:r>
        <w:t xml:space="preserve"> </w:t>
      </w:r>
      <w:r>
        <w:t xml:space="preserve">with 20 Graphic Designers across Auckland's creative sector (including Māori/Pacific-led studios like Taonga Creative and mainstream agencies like Wicked Group), focusing on ethical challenges and decision-making processes.</w:t>
      </w:r>
    </w:p>
    <w:p>
      <w:pPr>
        <w:numPr>
          <w:ilvl w:val="0"/>
          <w:numId w:val="1002"/>
        </w:numPr>
        <w:pStyle w:val="Compact"/>
      </w:pPr>
      <w:r>
        <w:rPr>
          <w:bCs/>
          <w:b/>
        </w:rPr>
        <w:t xml:space="preserve">Phase 3: Participatory Workshops</w:t>
      </w:r>
      <w:r>
        <w:t xml:space="preserve"> </w:t>
      </w:r>
      <w:r>
        <w:t xml:space="preserve">co-facilitated with Te Herenga Waka University of Auckland's Design Department, testing proposed frameworks for culturally responsive design education.</w:t>
      </w:r>
    </w:p>
    <w:p>
      <w:pPr>
        <w:pStyle w:val="FirstParagraph"/>
      </w:pPr>
      <w:r>
        <w:t xml:space="preserve">Data will be analyzed using thematic analysis aligned with Māori research ethics (Rangatiratanga), ensuring findings contribute directly to Auckland's creative ecosystem. Sampling prioritizes diversity in ethnicity, studio size (freelancer to agency), and project types (branding, digital, print) to capture nuanced perspectives.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A Culturally Specific Design Framework</w:t>
      </w:r>
      <w:r>
        <w:t xml:space="preserve">: A practical toolkit for Auckland Graphic Designers to navigate cultural collaboration, incorporating Māori concepts like whanaungatanga (relationship-building) and mauri (vitality) into project workflows. This directly addresses the Creative New Zealand sector report calling for "culturally intelligent design practices."</w:t>
      </w:r>
    </w:p>
    <w:p>
      <w:pPr>
        <w:numPr>
          <w:ilvl w:val="0"/>
          <w:numId w:val="1003"/>
        </w:numPr>
        <w:pStyle w:val="Compact"/>
      </w:pPr>
      <w:r>
        <w:rPr>
          <w:bCs/>
          <w:b/>
        </w:rPr>
        <w:t xml:space="preserve">Policy Recommendations</w:t>
      </w:r>
      <w:r>
        <w:t xml:space="preserve">: Evidence-based proposals for Auckland Council's Creative Industries Strategy 2030, advocating for mandatory cultural competency modules in design education and incentives for bicultural studio partnerships.</w:t>
      </w:r>
    </w:p>
    <w:p>
      <w:pPr>
        <w:numPr>
          <w:ilvl w:val="0"/>
          <w:numId w:val="1003"/>
        </w:numPr>
        <w:pStyle w:val="Compact"/>
      </w:pPr>
      <w:r>
        <w:rPr>
          <w:bCs/>
          <w:b/>
        </w:rPr>
        <w:t xml:space="preserve">Professional Development Model</w:t>
      </w:r>
      <w:r>
        <w:t xml:space="preserve">: A prototype workshop series co-designed with industry partners to equip designers with skills in ethical cultural consultation—addressing a critical gap identified by the Designers Institute of New Zealand (2023).</w:t>
      </w:r>
    </w:p>
    <w:p>
      <w:pPr>
        <w:pStyle w:val="FirstParagraph"/>
      </w:pPr>
      <w:r>
        <w:t xml:space="preserve">The significance extends beyond academia: By positioning Auckland's Graphic Designers as catalysts for authentic cultural expression, this work supports New Zealand's goal to be "the most culturally confident nation" (Ministry for Culture and Heritage). It also provides a replicable model for other Pacific nations navigating similar creative identity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Phase 1: Portfolio Analysis</w:t>
      </w:r>
    </w:p>
    <w:p>
      <w:pPr>
        <w:pStyle w:val="BodyText"/>
      </w:pPr>
      <w:r>
        <w:t xml:space="preserve">&lt; td&gt;✓ &lt; / tr&gt;</w:t>
      </w:r>
    </w:p>
    <w:p>
      <w:pPr>
        <w:pStyle w:val="BodyText"/>
      </w:pPr>
      <w:r>
        <w:t xml:space="preserve">&lt; td &gt; Phase 2: Interviews &amp; Data Collection</w:t>
      </w:r>
    </w:p>
    <w:p>
      <w:pPr>
        <w:pStyle w:val="BodyText"/>
      </w:pPr>
      <w:r>
        <w:t xml:space="preserve">✓</w:t>
      </w:r>
    </w:p>
    <w:p>
      <w:pPr>
        <w:pStyle w:val="BodyText"/>
      </w:pPr>
      <w:r>
        <w:t xml:space="preserve">Phase 3: Workshop Development &amp; Analysis</w:t>
      </w:r>
    </w:p>
    <w:p>
      <w:pPr>
        <w:pStyle w:val="BodyText"/>
      </w:pPr>
      <w:r>
        <w:t xml:space="preserve">✓</w:t>
      </w:r>
    </w:p>
    <w:p>
      <w:pPr>
        <w:pStyle w:val="BodyText"/>
      </w:pPr>
      <w:r>
        <w:t xml:space="preserve">&lt; td &gt; Thesis Writing &amp; Dissemination</w:t>
      </w:r>
    </w:p>
    <w:p>
      <w:pPr>
        <w:pStyle w:val="BodyText"/>
      </w:pPr>
      <w:r>
        <w:t xml:space="preserve">&lt; th &gt;</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 Graphic Designer in New Zealand Auckland transcends aesthetic execution—it is a site of cultural negotiation, economic resilience, and national identity-building. This thesis proposes to illuminate how designers navigate these complexities within a uniquely Aotearoan context. By centering Auckland's creative economy as the laboratory for this research, we move beyond abstract theory to generate actionable insights that empower Graphic Designers to become authentic cultural stewards. In an era where digital globalization threatens local artistic voices, this work affirms that Auckland's graphic designers are not merely producers of imagery but essential co-creators of Aotearoa's visual narrative—making their professional evolution critical for New Zealand's future.</w:t>
      </w:r>
    </w:p>
    <w:bookmarkEnd w:id="27"/>
    <w:bookmarkStart w:id="28" w:name="references-selected"/>
    <w:p>
      <w:pPr>
        <w:pStyle w:val="Heading2"/>
      </w:pPr>
      <w:r>
        <w:t xml:space="preserve">9. References (Selected)</w:t>
      </w:r>
    </w:p>
    <w:p>
      <w:pPr>
        <w:numPr>
          <w:ilvl w:val="0"/>
          <w:numId w:val="1004"/>
        </w:numPr>
        <w:pStyle w:val="Compact"/>
      </w:pPr>
      <w:r>
        <w:t xml:space="preserve">Creative New Zealand. (2022). *Creative Industries in Aotearoa: Auckland Focus Report*. Wellington: Crown.</w:t>
      </w:r>
    </w:p>
    <w:p>
      <w:pPr>
        <w:numPr>
          <w:ilvl w:val="0"/>
          <w:numId w:val="1004"/>
        </w:numPr>
        <w:pStyle w:val="Compact"/>
      </w:pPr>
      <w:r>
        <w:t xml:space="preserve">Duff, L., et al. (2019). "Bicultural Design Practice in New Zealand." *Journal of Māori Studies*, 38(1), 45–62.</w:t>
      </w:r>
    </w:p>
    <w:p>
      <w:pPr>
        <w:numPr>
          <w:ilvl w:val="0"/>
          <w:numId w:val="1004"/>
        </w:numPr>
        <w:pStyle w:val="Compact"/>
      </w:pPr>
      <w:r>
        <w:t xml:space="preserve">Ministry for Culture and Heritage. (2023). *Te Aroha: Aotearoa’s Cultural Strategy*. Wellington.</w:t>
      </w:r>
    </w:p>
    <w:p>
      <w:pPr>
        <w:numPr>
          <w:ilvl w:val="0"/>
          <w:numId w:val="1004"/>
        </w:numPr>
        <w:pStyle w:val="Compact"/>
      </w:pPr>
      <w:r>
        <w:t xml:space="preserve">Rangatiratanga in Research Framework. (2020). Te Whatu Ora, Ngā Pae o te Māramatanga.</w:t>
      </w:r>
    </w:p>
    <w:p>
      <w:pPr>
        <w:numPr>
          <w:ilvl w:val="0"/>
          <w:numId w:val="1004"/>
        </w:numPr>
        <w:pStyle w:val="Compact"/>
      </w:pPr>
      <w:r>
        <w:t xml:space="preserve">Statistics New Zealand. (2023). *Creative Industries Employment Survey*. Wellington: Stats NZ.</w:t>
      </w:r>
    </w:p>
    <w:p>
      <w:pPr>
        <w:pStyle w:val="FirstParagraph"/>
      </w:pPr>
      <w:r>
        <w:rPr>
          <w:iCs/>
          <w:i/>
        </w:rPr>
        <w:t xml:space="preserve">This thesis proposal aligns with the University of Auckland's strategic focus on Indigenous-led research and contributes directly to Auckland's ambition as a UNESCO Creative City. The proposed research will be conducted in partnership with the Designers Institute of New Zealand and Te Papa Tongarewa, ensuring community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Designers in New Zealand Auckland's Creative Economy</dc:title>
  <dc:creator/>
  <dc:language>en</dc:language>
  <cp:keywords/>
  <dcterms:created xsi:type="dcterms:W3CDTF">2026-07-24T06:03:29Z</dcterms:created>
  <dcterms:modified xsi:type="dcterms:W3CDTF">2026-07-24T06:03:29Z</dcterms:modified>
</cp:coreProperties>
</file>

<file path=docProps/custom.xml><?xml version="1.0" encoding="utf-8"?>
<Properties xmlns="http://schemas.openxmlformats.org/officeDocument/2006/custom-properties" xmlns:vt="http://schemas.openxmlformats.org/officeDocument/2006/docPropsVTypes"/>
</file>