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Creative</w:t>
      </w:r>
      <w:r>
        <w:t xml:space="preserve"> </w:t>
      </w:r>
      <w:r>
        <w:t xml:space="preserve">Ecosystem</w:t>
      </w:r>
    </w:p>
    <w:bookmarkStart w:id="28" w:name="X0af96dc8e626a6b23a7b90e616d43243a9d55a7"/>
    <w:p>
      <w:pPr>
        <w:pStyle w:val="Heading1"/>
      </w:pPr>
      <w:r>
        <w:t xml:space="preserve">Thesis Proposal: The Evolving Role of the Graphic Designer in New Zealand Wellington's Creative Ecosystem</w:t>
      </w:r>
    </w:p>
    <w:bookmarkStart w:id="20" w:name="introduction-and-research-context"/>
    <w:p>
      <w:pPr>
        <w:pStyle w:val="Heading2"/>
      </w:pPr>
      <w:r>
        <w:t xml:space="preserve">Introduction and Research Context</w:t>
      </w:r>
    </w:p>
    <w:p>
      <w:pPr>
        <w:pStyle w:val="FirstParagraph"/>
      </w:pPr>
      <w:r>
        <w:t xml:space="preserve">The creative sector forms a vital economic and cultural backbone for New Zealand, with Wellington emerging as its undisputed creative capital. As the nation's media, film, and design hub—home to Weta Workshop, Park Road Post Production, and numerous independent studios—Wellington offers a unique laboratory for examining contemporary graphic design practice. This Thesis Proposal investigates the evolving professional identity of the</w:t>
      </w:r>
      <w:r>
        <w:t xml:space="preserve"> </w:t>
      </w:r>
      <w:r>
        <w:rPr>
          <w:iCs/>
          <w:i/>
        </w:rPr>
        <w:t xml:space="preserve">Graphic Designer</w:t>
      </w:r>
      <w:r>
        <w:t xml:space="preserve"> </w:t>
      </w:r>
      <w:r>
        <w:t xml:space="preserve">within</w:t>
      </w:r>
      <w:r>
        <w:t xml:space="preserve"> </w:t>
      </w:r>
      <w:r>
        <w:rPr>
          <w:iCs/>
          <w:i/>
        </w:rPr>
        <w:t xml:space="preserve">New Zealand Wellington</w:t>
      </w:r>
      <w:r>
        <w:t xml:space="preserve">'s dynamic creative landscape. While global trends in digital media and sustainability reshape design disciplines worldwide, this research specifically addresses how local market demands, cultural distinctiveness, and institutional support systems are redefining what it means to be a graphic designer in Aotearoa's capital city. With Wellington's creative workforce growing at 5.2% annually (Creative New Zealand, 2023), understanding this professional evolution is not merely academic—it is critical for educational institutions, industry bodies, and aspiring designers navigating this vibrant yet competitive environment.</w:t>
      </w:r>
    </w:p>
    <w:bookmarkEnd w:id="20"/>
    <w:bookmarkStart w:id="21" w:name="problem-statement"/>
    <w:p>
      <w:pPr>
        <w:pStyle w:val="Heading2"/>
      </w:pPr>
      <w:r>
        <w:t xml:space="preserve">Problem Statement</w:t>
      </w:r>
    </w:p>
    <w:p>
      <w:pPr>
        <w:pStyle w:val="FirstParagraph"/>
      </w:pPr>
      <w:r>
        <w:t xml:space="preserve">Despite Wellington's reputation as a creative hotspot, the graphic design profession faces systemic challenges that hinder its sustainable growth. Current industry surveys (Designscape NZ, 2023) reveal a 37% increase in freelance work since 2019, yet designers report inadequate professional development pathways and inconsistent recognition of their strategic value beyond aesthetic execution. Crucially, there exists no comprehensive study analyzing how Wellington's unique cultural context—shaped by Māori perspectives (Te Ao Māori), Pacific Islander influences, and the city's "creative cluster" ethos—impacts design methodologies and career trajectories. This gap is particularly acute as digital transformation accelerates: 68% of Wellington-based designers now require motion graphics skills (up from 29% in 2018), yet educational programs lag in curriculum adaptation. Without understanding these localized dynamics,</w:t>
      </w:r>
      <w:r>
        <w:t xml:space="preserve"> </w:t>
      </w:r>
      <w:r>
        <w:rPr>
          <w:iCs/>
          <w:i/>
        </w:rPr>
        <w:t xml:space="preserve">Graphic Designer</w:t>
      </w:r>
      <w:r>
        <w:t xml:space="preserve"> </w:t>
      </w:r>
      <w:r>
        <w:t xml:space="preserve">professional development remains fragmented, risking both talent attrition and the erosion of New Zealand's distinctive visual identity on global platforms.</w:t>
      </w:r>
    </w:p>
    <w:bookmarkEnd w:id="21"/>
    <w:bookmarkStart w:id="22" w:name="literature-review-gaps-in-local-context"/>
    <w:p>
      <w:pPr>
        <w:pStyle w:val="Heading2"/>
      </w:pPr>
      <w:r>
        <w:t xml:space="preserve">Literature Review: Gaps in Local Context</w:t>
      </w:r>
    </w:p>
    <w:p>
      <w:pPr>
        <w:pStyle w:val="FirstParagraph"/>
      </w:pPr>
      <w:r>
        <w:t xml:space="preserve">Existing scholarship focuses predominantly on Western design theories or generic digital trends (e.g., Lupton, 2019; Srinivasan, 2021), largely overlooking how Pacific and Indigenous frameworks reshape design practice in Aotearoa. While studies like Wilson &amp; Pāora (2020) examine Māori visual language in branding, they do not address day-to-day operational challenges faced by working designers in Wellington's commercial sector. Similarly, national reports (e.g., Creative New Zealand 2023) quantify economic contributions but neglect qualitative insights into professional identity. This thesis bridges that gap by centering</w:t>
      </w:r>
      <w:r>
        <w:t xml:space="preserve"> </w:t>
      </w:r>
      <w:r>
        <w:rPr>
          <w:iCs/>
          <w:i/>
        </w:rPr>
        <w:t xml:space="preserve">New Zealand Wellington</w:t>
      </w:r>
      <w:r>
        <w:t xml:space="preserve"> </w:t>
      </w:r>
      <w:r>
        <w:t xml:space="preserve">as both the physical and conceptual framework for analysis—recognizing that a designer in Te Whanganui-a-Tara (Wellington Harbour) navigates distinct pressures compared to their counterparts in Auckland or Christchurch, particularly through community engagement with local iwi (Māori tribes) and the city's compact creative ecosystem where collaboration is often mandatory.</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landscape of graphic designers in Wellington, identifying key skills, workplace challenges, and emerging specializations specific to the city's market.</w:t>
      </w:r>
    </w:p>
    <w:p>
      <w:pPr>
        <w:numPr>
          <w:ilvl w:val="0"/>
          <w:numId w:val="1001"/>
        </w:numPr>
        <w:pStyle w:val="Compact"/>
      </w:pPr>
      <w:r>
        <w:t xml:space="preserve">To analyze how Māori cultural frameworks (e.g., kaitiakitanga—guardianship principles) and Pacific Islander design traditions are being integrated into contemporary Wellington practice.</w:t>
      </w:r>
    </w:p>
    <w:p>
      <w:pPr>
        <w:numPr>
          <w:ilvl w:val="0"/>
          <w:numId w:val="1001"/>
        </w:numPr>
        <w:pStyle w:val="Compact"/>
      </w:pPr>
      <w:r>
        <w:t xml:space="preserve">To evaluate the effectiveness of local educational institutions (e.g., Whitecliffe College, Victoria University) in preparing designers for Wellington's unique industry demands.</w:t>
      </w:r>
    </w:p>
    <w:p>
      <w:pPr>
        <w:numPr>
          <w:ilvl w:val="0"/>
          <w:numId w:val="1001"/>
        </w:numPr>
        <w:pStyle w:val="Compact"/>
      </w:pPr>
      <w:r>
        <w:t xml:space="preserve">To propose a culturally responsive professional development model tailored to</w:t>
      </w:r>
      <w:r>
        <w:t xml:space="preserve"> </w:t>
      </w:r>
      <w:r>
        <w:rPr>
          <w:iCs/>
          <w:i/>
        </w:rPr>
        <w:t xml:space="preserve">Graphic Designer</w:t>
      </w:r>
      <w:r>
        <w:t xml:space="preserve"> </w:t>
      </w:r>
      <w:r>
        <w:t xml:space="preserve">career progression within</w:t>
      </w:r>
      <w:r>
        <w:t xml:space="preserve"> </w:t>
      </w:r>
      <w:r>
        <w:rPr>
          <w:iCs/>
          <w:i/>
        </w:rPr>
        <w:t xml:space="preserve">New Zealand Wellington</w:t>
      </w:r>
      <w:r>
        <w:t xml:space="preserve">'s creative cluster.</w:t>
      </w:r>
    </w:p>
    <w:bookmarkEnd w:id="23"/>
    <w:bookmarkStart w:id="24" w:name="methodology"/>
    <w:p>
      <w:pPr>
        <w:pStyle w:val="Heading2"/>
      </w:pPr>
      <w:r>
        <w:t xml:space="preserve">Methodology</w:t>
      </w:r>
    </w:p>
    <w:p>
      <w:pPr>
        <w:pStyle w:val="FirstParagraph"/>
      </w:pPr>
      <w:r>
        <w:t xml:space="preserve">This mixed-methods study will employ three interconnected approaches over 18 months:</w:t>
      </w:r>
    </w:p>
    <w:p>
      <w:pPr>
        <w:numPr>
          <w:ilvl w:val="0"/>
          <w:numId w:val="1002"/>
        </w:numPr>
        <w:pStyle w:val="Compact"/>
      </w:pPr>
      <w:r>
        <w:rPr>
          <w:bCs/>
          <w:b/>
        </w:rPr>
        <w:t xml:space="preserve">Semi-structured interviews</w:t>
      </w:r>
      <w:r>
        <w:t xml:space="preserve">: 30+ in-depth conversations with Wellington-based graphic designers across sectors (agency, freelance, nonprofit, film), including Māori and Pacific Islander practitioners to ensure cultural inclusivity.</w:t>
      </w:r>
    </w:p>
    <w:p>
      <w:pPr>
        <w:numPr>
          <w:ilvl w:val="0"/>
          <w:numId w:val="1002"/>
        </w:numPr>
        <w:pStyle w:val="Compact"/>
      </w:pPr>
      <w:r>
        <w:rPr>
          <w:bCs/>
          <w:b/>
        </w:rPr>
        <w:t xml:space="preserve">Critical case studies</w:t>
      </w:r>
      <w:r>
        <w:t xml:space="preserve">: Analysis of three notable Wellington projects where design directly engaged with local culture (e.g., Te Papa Museum rebranding, Wellington City Council sustainability campaigns).</w:t>
      </w:r>
    </w:p>
    <w:p>
      <w:pPr>
        <w:numPr>
          <w:ilvl w:val="0"/>
          <w:numId w:val="1002"/>
        </w:numPr>
        <w:pStyle w:val="Compact"/>
      </w:pPr>
      <w:r>
        <w:rPr>
          <w:bCs/>
          <w:b/>
        </w:rPr>
        <w:t xml:space="preserve">Stakeholder workshops</w:t>
      </w:r>
      <w:r>
        <w:t xml:space="preserve">: Collaborative sessions with design educators (Victoria University), industry bodies (Creative Industries Association of NZ), and iwi representatives to co-design the proposed professional development framework.</w:t>
      </w:r>
    </w:p>
    <w:p>
      <w:pPr>
        <w:pStyle w:val="FirstParagraph"/>
      </w:pPr>
      <w:r>
        <w:t xml:space="preserve">Data collection will prioritize Wellington's geographical context—interviews conducted at local creative hubs like The Basement or CUB, acknowledging that a designer's workspace is often part of their cultural ecosystem. Thematic analysis will identify patterns in how "place" influences design practice, moving beyond generic skill inventories to understand contextual decision-making.</w:t>
      </w:r>
    </w:p>
    <w:bookmarkEnd w:id="24"/>
    <w:bookmarkStart w:id="25" w:name="expected-outcomes-and-significance"/>
    <w:p>
      <w:pPr>
        <w:pStyle w:val="Heading2"/>
      </w:pPr>
      <w:r>
        <w:t xml:space="preserve">Expected Outcomes and Significance</w:t>
      </w:r>
    </w:p>
    <w:p>
      <w:pPr>
        <w:pStyle w:val="FirstParagraph"/>
      </w:pPr>
      <w:r>
        <w:t xml:space="preserve">This research will yield three key deliverables with immediate relevance to</w:t>
      </w:r>
      <w:r>
        <w:t xml:space="preserve"> </w:t>
      </w:r>
      <w:r>
        <w:rPr>
          <w:iCs/>
          <w:i/>
        </w:rPr>
        <w:t xml:space="preserve">New Zealand Wellington</w:t>
      </w:r>
      <w:r>
        <w:t xml:space="preserve">:</w:t>
      </w:r>
    </w:p>
    <w:p>
      <w:pPr>
        <w:numPr>
          <w:ilvl w:val="0"/>
          <w:numId w:val="1003"/>
        </w:numPr>
        <w:pStyle w:val="Compact"/>
      </w:pPr>
      <w:r>
        <w:t xml:space="preserve">A publicly accessible "Wellington Design Landscape Report" detailing skill gaps, cultural integration opportunities, and sector-specific challenges.</w:t>
      </w:r>
    </w:p>
    <w:p>
      <w:pPr>
        <w:numPr>
          <w:ilvl w:val="0"/>
          <w:numId w:val="1003"/>
        </w:numPr>
        <w:pStyle w:val="Compact"/>
      </w:pPr>
      <w:r>
        <w:t xml:space="preserve">A prototype professional development framework ("Te Huarahi Whakapapa" – The Pathway of Roots) incorporating Māori pedagogical principles (e.g., whanaungatanga—relationships as learning) for continuous skill-building in Wellington's context.</w:t>
      </w:r>
    </w:p>
    <w:p>
      <w:pPr>
        <w:numPr>
          <w:ilvl w:val="0"/>
          <w:numId w:val="1003"/>
        </w:numPr>
        <w:pStyle w:val="Compact"/>
      </w:pPr>
      <w:r>
        <w:t xml:space="preserve">Curriculum recommendations for local design schools, positioning Wellington as a model for culturally embedded creative education globally.</w:t>
      </w:r>
    </w:p>
    <w:p>
      <w:pPr>
        <w:pStyle w:val="FirstParagraph"/>
      </w:pPr>
      <w:r>
        <w:t xml:space="preserve">The significance extends beyond academia: By documenting how designers navigate Aotearoa's cultural specificity while meeting global market demands, this thesis will directly support the Creative Industries Strategy 2023-2030. It addresses a critical need for designers to articulate their strategic value—moving from "visual doer" to "cultural translator" in projects ranging from tourism campaigns (e.g., Wellington City's "Discover Te Whanganui-a-Tara") to social impact initiatives. For</w:t>
      </w:r>
      <w:r>
        <w:t xml:space="preserve"> </w:t>
      </w:r>
      <w:r>
        <w:rPr>
          <w:iCs/>
          <w:i/>
        </w:rPr>
        <w:t xml:space="preserve">Graphic Designer</w:t>
      </w:r>
      <w:r>
        <w:t xml:space="preserve">s in</w:t>
      </w:r>
      <w:r>
        <w:t xml:space="preserve"> </w:t>
      </w:r>
      <w:r>
        <w:rPr>
          <w:iCs/>
          <w:i/>
        </w:rPr>
        <w:t xml:space="preserve">New Zealand Wellington</w:t>
      </w:r>
      <w:r>
        <w:t xml:space="preserve">, this work promises not just theoretical insight, but a tangible roadmap for professional growth within their city's distinctive creative ecosystem.</w:t>
      </w:r>
    </w:p>
    <w:bookmarkEnd w:id="25"/>
    <w:bookmarkStart w:id="26" w:name="conclusion-why-wellington-matters"/>
    <w:p>
      <w:pPr>
        <w:pStyle w:val="Heading2"/>
      </w:pPr>
      <w:r>
        <w:t xml:space="preserve">Conclusion: Why Wellington Matters</w:t>
      </w:r>
    </w:p>
    <w:p>
      <w:pPr>
        <w:pStyle w:val="FirstParagraph"/>
      </w:pPr>
      <w:r>
        <w:t xml:space="preserve">Wellington is more than a location—it is the living embodiment of New Zealand's creative future. This Thesis Proposal argues that the role of the Graphic Designer here cannot be isolated from the city's identity as a place where Māori knowledge systems intersect with global digital innovation, where film studios coexist with grassroots artist collectives, and where every design decision carries cultural resonance. By centering Wellington as both subject and context, this research transcends a mere industry study to become a contribution to Aotearoa's broader conversation about how creativity shapes national identity. The outcomes will empower designers not merely to work in Wellington, but to actively define what it means for the</w:t>
      </w:r>
      <w:r>
        <w:t xml:space="preserve"> </w:t>
      </w:r>
      <w:r>
        <w:rPr>
          <w:iCs/>
          <w:i/>
        </w:rPr>
        <w:t xml:space="preserve">Graphic Designer</w:t>
      </w:r>
      <w:r>
        <w:t xml:space="preserve"> </w:t>
      </w:r>
      <w:r>
        <w:t xml:space="preserve">profession in 21st-century New Zealand—a vision that is at once local, culturally grounded, and globally significant.</w:t>
      </w:r>
    </w:p>
    <w:bookmarkEnd w:id="26"/>
    <w:bookmarkStart w:id="27" w:name="references-selected"/>
    <w:p>
      <w:pPr>
        <w:pStyle w:val="Heading2"/>
      </w:pPr>
      <w:r>
        <w:t xml:space="preserve">References (Selected)</w:t>
      </w:r>
    </w:p>
    <w:p>
      <w:pPr>
        <w:numPr>
          <w:ilvl w:val="0"/>
          <w:numId w:val="1004"/>
        </w:numPr>
        <w:pStyle w:val="Compact"/>
      </w:pPr>
      <w:r>
        <w:t xml:space="preserve">Creative New Zealand. (2023). *Creative Industries Annual Report*. Wellington: Creative New Zealand.</w:t>
      </w:r>
    </w:p>
    <w:p>
      <w:pPr>
        <w:numPr>
          <w:ilvl w:val="0"/>
          <w:numId w:val="1004"/>
        </w:numPr>
        <w:pStyle w:val="Compact"/>
      </w:pPr>
      <w:r>
        <w:t xml:space="preserve">Designscape NZ. (2023). *Graphic Design Sector Survey*. Wellington: Designers Institute of Aotearoa.</w:t>
      </w:r>
    </w:p>
    <w:p>
      <w:pPr>
        <w:numPr>
          <w:ilvl w:val="0"/>
          <w:numId w:val="1004"/>
        </w:numPr>
        <w:pStyle w:val="Compact"/>
      </w:pPr>
      <w:r>
        <w:t xml:space="preserve">Wilson, R., &amp; Pāora, R. (2020). *Te Reo Māori in Branding: Contemporary Applications*. Journal of Pacific Studies, 41(3), 112-130.</w:t>
      </w:r>
    </w:p>
    <w:p>
      <w:pPr>
        <w:numPr>
          <w:ilvl w:val="0"/>
          <w:numId w:val="1004"/>
        </w:numPr>
        <w:pStyle w:val="Compact"/>
      </w:pPr>
      <w:r>
        <w:t xml:space="preserve">Lupton, E. (2019). *Design Is Storytelling*. Princeton Architectural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New Zealand Wellington's Creative Ecosystem</dc:title>
  <dc:creator/>
  <dc:language>en</dc:language>
  <cp:keywords/>
  <dcterms:created xsi:type="dcterms:W3CDTF">2026-07-23T22:10:49Z</dcterms:created>
  <dcterms:modified xsi:type="dcterms:W3CDTF">2026-07-23T22:10:49Z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