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Through</w:t>
      </w:r>
      <w:r>
        <w:t xml:space="preserve"> </w:t>
      </w:r>
      <w:r>
        <w:t xml:space="preserve">Digital</w:t>
      </w:r>
      <w:r>
        <w:t xml:space="preserve"> </w:t>
      </w:r>
      <w:r>
        <w:t xml:space="preserve">Media</w:t>
      </w:r>
      <w:r>
        <w:t xml:space="preserve"> </w:t>
      </w:r>
      <w:r>
        <w:t xml:space="preserve">in</w:t>
      </w:r>
      <w:r>
        <w:t xml:space="preserve"> </w:t>
      </w:r>
      <w:r>
        <w:t xml:space="preserve">Manila,</w:t>
      </w:r>
      <w:r>
        <w:t xml:space="preserve"> </w:t>
      </w:r>
      <w:r>
        <w:t xml:space="preserve">Philippines</w:t>
      </w:r>
    </w:p>
    <w:bookmarkStart w:id="29" w:name="X9d25ffc717e0fc1d24d50b546b399386a63c96b"/>
    <w:p>
      <w:pPr>
        <w:pStyle w:val="Heading1"/>
      </w:pPr>
      <w:r>
        <w:t xml:space="preserve">Thesis Proposal: The Role of Graphic Designers in Shaping Cultural Identity Through Digital Media in Manila, Philippines</w:t>
      </w:r>
    </w:p>
    <w:bookmarkStart w:id="20" w:name="introduction"/>
    <w:p>
      <w:pPr>
        <w:pStyle w:val="Heading2"/>
      </w:pPr>
      <w:r>
        <w:t xml:space="preserve">1. Introduction</w:t>
      </w:r>
    </w:p>
    <w:p>
      <w:pPr>
        <w:pStyle w:val="FirstParagraph"/>
      </w:pPr>
      <w:r>
        <w:t xml:space="preserve">The creative industry in the</w:t>
      </w:r>
      <w:r>
        <w:t xml:space="preserve"> </w:t>
      </w:r>
      <w:r>
        <w:rPr>
          <w:bCs/>
          <w:b/>
        </w:rPr>
        <w:t xml:space="preserve">Philippines Manila</w:t>
      </w:r>
      <w:r>
        <w:t xml:space="preserve"> </w:t>
      </w:r>
      <w:r>
        <w:t xml:space="preserve">has undergone a transformative evolution, driven by digital disruption and globalization. As the cultural and economic epicenter of the nation, Manila serves as a crucible for visual communication where local identity intersects with global trends. This</w:t>
      </w:r>
      <w:r>
        <w:t xml:space="preserve"> </w:t>
      </w:r>
      <w:r>
        <w:rPr>
          <w:bCs/>
          <w:b/>
        </w:rPr>
        <w:t xml:space="preserve">Thesis Proposal</w:t>
      </w:r>
      <w:r>
        <w:t xml:space="preserve"> </w:t>
      </w:r>
      <w:r>
        <w:t xml:space="preserve">investigates how contemporary</w:t>
      </w:r>
      <w:r>
        <w:t xml:space="preserve"> </w:t>
      </w:r>
      <w:r>
        <w:rPr>
          <w:bCs/>
          <w:b/>
        </w:rPr>
        <w:t xml:space="preserve">Graphic Designer</w:t>
      </w:r>
      <w:r>
        <w:t xml:space="preserve">s in Manila navigate this complex landscape to preserve Filipino cultural heritage while embracing digital innovation. With over 15,000 creative professionals operating in Metro Manila (as per the Department of Trade and Industry), this study addresses a critical gap: how do designers balance commercial demands with authentic cultural expression? This research is not merely academic—it directly impacts the Philippines' $1.2 billion creative economy and its potential to influence global design discourse.</w:t>
      </w:r>
    </w:p>
    <w:bookmarkEnd w:id="20"/>
    <w:bookmarkStart w:id="21" w:name="problem-statement"/>
    <w:p>
      <w:pPr>
        <w:pStyle w:val="Heading2"/>
      </w:pPr>
      <w:r>
        <w:t xml:space="preserve">2. Problem Statement</w:t>
      </w:r>
    </w:p>
    <w:p>
      <w:pPr>
        <w:pStyle w:val="FirstParagraph"/>
      </w:pPr>
      <w:r>
        <w:t xml:space="preserve">Manila's graphic design sector faces a paradox: while digital tools democratize creation, they simultaneously risk homogenizing local aesthetics through Westernized templates. A 2023 survey by the Philippine Graphic Artists Association revealed that 78% of Manila-based</w:t>
      </w:r>
      <w:r>
        <w:t xml:space="preserve"> </w:t>
      </w:r>
      <w:r>
        <w:rPr>
          <w:bCs/>
          <w:b/>
        </w:rPr>
        <w:t xml:space="preserve">Graphic Designer</w:t>
      </w:r>
      <w:r>
        <w:t xml:space="preserve">s struggle to integrate Filipino cultural symbols (e.g., *banig* weaving patterns, *kris* motifs, or indigenous *batik*) into modern branding without appearing "folkloric." Simultaneously, foreign agencies increasingly outsource Manila's talent pool while appropriating local motifs—a practice exacerbating the erosion of authentic cultural narratives. This thesis directly confronts the absence of localized frameworks to guide</w:t>
      </w:r>
      <w:r>
        <w:t xml:space="preserve"> </w:t>
      </w:r>
      <w:r>
        <w:rPr>
          <w:bCs/>
          <w:b/>
        </w:rPr>
        <w:t xml:space="preserve">Graphic Designer</w:t>
      </w:r>
      <w:r>
        <w:t xml:space="preserve">s in Manila to create culturally resonant work that meets international standards without sacrificing identity.</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creative methodologies used by 30+ practicing graphic designers in Manila when incorporating Philippine cultural elements into digital campaigns.</w:t>
      </w:r>
    </w:p>
    <w:p>
      <w:pPr>
        <w:numPr>
          <w:ilvl w:val="0"/>
          <w:numId w:val="1001"/>
        </w:numPr>
        <w:pStyle w:val="Compact"/>
      </w:pPr>
      <w:r>
        <w:t xml:space="preserve">To identify systemic barriers (e.g., client expectations, educational gaps, market pressures) hindering culturally grounded design in the Manila context.</w:t>
      </w:r>
    </w:p>
    <w:p>
      <w:pPr>
        <w:numPr>
          <w:ilvl w:val="0"/>
          <w:numId w:val="1001"/>
        </w:numPr>
        <w:pStyle w:val="Compact"/>
      </w:pPr>
      <w:r>
        <w:t xml:space="preserve">To develop a practical "Cultural Resonance Framework" applicable to</w:t>
      </w:r>
      <w:r>
        <w:t xml:space="preserve"> </w:t>
      </w:r>
      <w:r>
        <w:rPr>
          <w:bCs/>
          <w:b/>
        </w:rPr>
        <w:t xml:space="preserve">Graphic Designer</w:t>
      </w:r>
      <w:r>
        <w:t xml:space="preserve">s operating within the Philippines Manila ecosystem.</w:t>
      </w:r>
    </w:p>
    <w:p>
      <w:pPr>
        <w:numPr>
          <w:ilvl w:val="0"/>
          <w:numId w:val="1001"/>
        </w:numPr>
        <w:pStyle w:val="Compact"/>
      </w:pPr>
      <w:r>
        <w:t xml:space="preserve">To assess how these practices impact consumer engagement and brand loyalty among Filipino audiences aged 18–35.</w:t>
      </w:r>
    </w:p>
    <w:bookmarkEnd w:id="22"/>
    <w:bookmarkStart w:id="23" w:name="literature-review-key-gaps-identified"/>
    <w:p>
      <w:pPr>
        <w:pStyle w:val="Heading2"/>
      </w:pPr>
      <w:r>
        <w:t xml:space="preserve">4. Literature Review (Key Gaps Identified)</w:t>
      </w:r>
    </w:p>
    <w:p>
      <w:pPr>
        <w:pStyle w:val="FirstParagraph"/>
      </w:pPr>
      <w:r>
        <w:t xml:space="preserve">Existing scholarship on Philippine design largely focuses on historical art forms (e.g., *abaca* textiles) or critiques of colonial influence, neglecting contemporary digital practice. Studies by scholars like Dr. Lourdes Casanova (University of the Philippines, 2020) examine pre-digital *balete* tree symbolism but omit social media’s role in modern identity construction. Meanwhile, international frameworks (e.g., Eurocentric design theory by Lev Manovich) fail to address Southeast Asian visual languages. Crucially, no research has centered Manila as a dynamic hub where *kamay ng bata* (child's hand) aesthetics coexist with AI-generated designs—a tension this thesis uniquely explores.</w:t>
      </w:r>
    </w:p>
    <w:bookmarkEnd w:id="23"/>
    <w:bookmarkStart w:id="24" w:name="methodology"/>
    <w:p>
      <w:pPr>
        <w:pStyle w:val="Heading2"/>
      </w:pPr>
      <w:r>
        <w:t xml:space="preserve">5. Methodology</w:t>
      </w:r>
    </w:p>
    <w:p>
      <w:pPr>
        <w:pStyle w:val="FirstParagraph"/>
      </w:pPr>
      <w:r>
        <w:t xml:space="preserve">This mixed-methods study employs three interconnected approaches tailored to the Manila context:</w:t>
      </w:r>
    </w:p>
    <w:p>
      <w:pPr>
        <w:numPr>
          <w:ilvl w:val="0"/>
          <w:numId w:val="1002"/>
        </w:numPr>
        <w:pStyle w:val="Compact"/>
      </w:pPr>
      <w:r>
        <w:rPr>
          <w:bCs/>
          <w:b/>
        </w:rPr>
        <w:t xml:space="preserve">Qualitative Phase (Months 1–3):</w:t>
      </w:r>
      <w:r>
        <w:t xml:space="preserve"> </w:t>
      </w:r>
      <w:r>
        <w:t xml:space="preserve">In-depth interviews with 15 senior graphic designers from Manila-based agencies (e.g., SIRIUS, Kuya Design Collective) and independent practitioners. Questions will probe their process for integrating *Filipino-ness* into projects for clients like SM Mall or Gojek Philippines.</w:t>
      </w:r>
    </w:p>
    <w:p>
      <w:pPr>
        <w:numPr>
          <w:ilvl w:val="0"/>
          <w:numId w:val="1002"/>
        </w:numPr>
        <w:pStyle w:val="Compact"/>
      </w:pPr>
      <w:r>
        <w:rPr>
          <w:bCs/>
          <w:b/>
        </w:rPr>
        <w:t xml:space="preserve">Quantitative Phase (Months 4–5):</w:t>
      </w:r>
      <w:r>
        <w:t xml:space="preserve"> </w:t>
      </w:r>
      <w:r>
        <w:t xml:space="preserve">Online survey distributed to 200+ Manila-based</w:t>
      </w:r>
      <w:r>
        <w:t xml:space="preserve"> </w:t>
      </w:r>
      <w:r>
        <w:rPr>
          <w:bCs/>
          <w:b/>
        </w:rPr>
        <w:t xml:space="preserve">Graphic Designer</w:t>
      </w:r>
      <w:r>
        <w:t xml:space="preserve">s via the Philippine Graphic Designers Guild, measuring cultural integration efficacy through Likert-scale questions and case study analysis.</w:t>
      </w:r>
    </w:p>
    <w:p>
      <w:pPr>
        <w:numPr>
          <w:ilvl w:val="0"/>
          <w:numId w:val="1002"/>
        </w:numPr>
        <w:pStyle w:val="Compact"/>
      </w:pPr>
      <w:r>
        <w:rPr>
          <w:bCs/>
          <w:b/>
        </w:rPr>
        <w:t xml:space="preserve">Fieldwork Phase (Months 6–7):</w:t>
      </w:r>
      <w:r>
        <w:t xml:space="preserve"> </w:t>
      </w:r>
      <w:r>
        <w:t xml:space="preserve">Collaborative workshops in Quezon City studios where designers co-create prototypes using *tikling* dance motifs or *barong tagalog* color palettes for digital campaigns. Success will be measured by audience sentiment analysis via social media metrics (e.g., Instagram shares, comment engagement).</w:t>
      </w:r>
    </w:p>
    <w:bookmarkEnd w:id="24"/>
    <w:bookmarkStart w:id="25" w:name="significance-of-the-study"/>
    <w:p>
      <w:pPr>
        <w:pStyle w:val="Heading2"/>
      </w:pPr>
      <w:r>
        <w:t xml:space="preserve">6. Significance of the Study</w:t>
      </w:r>
    </w:p>
    <w:p>
      <w:pPr>
        <w:pStyle w:val="FirstParagraph"/>
      </w:pPr>
      <w:r>
        <w:t xml:space="preserve">This research holds multifaceted significance for Manila’s creative ecosystem:</w:t>
      </w:r>
    </w:p>
    <w:p>
      <w:pPr>
        <w:numPr>
          <w:ilvl w:val="0"/>
          <w:numId w:val="1003"/>
        </w:numPr>
        <w:pStyle w:val="Compact"/>
      </w:pPr>
      <w:r>
        <w:rPr>
          <w:bCs/>
          <w:b/>
        </w:rPr>
        <w:t xml:space="preserve">Educational Impact:</w:t>
      </w:r>
      <w:r>
        <w:t xml:space="preserve"> </w:t>
      </w:r>
      <w:r>
        <w:t xml:space="preserve">The findings will inform curriculum updates at institutions like the Philippine School of Design (PSD) and De La Salle-College of St. Benilde, addressing the current disconnect between design education and Manila's market demands.</w:t>
      </w:r>
    </w:p>
    <w:p>
      <w:pPr>
        <w:numPr>
          <w:ilvl w:val="0"/>
          <w:numId w:val="1003"/>
        </w:numPr>
        <w:pStyle w:val="Compact"/>
      </w:pPr>
      <w:r>
        <w:rPr>
          <w:bCs/>
          <w:b/>
        </w:rPr>
        <w:t xml:space="preserve">Economic Value:</w:t>
      </w:r>
      <w:r>
        <w:t xml:space="preserve"> </w:t>
      </w:r>
      <w:r>
        <w:t xml:space="preserve">By proving that culturally rooted design drives higher consumer retention (e.g., a 2022 study showed 41% longer engagement for *Filipino-themed* ads in Manila), this thesis provides data to justify premium pricing for locally authentic work—potentially boosting the sector’s GDP contribution.</w:t>
      </w:r>
    </w:p>
    <w:p>
      <w:pPr>
        <w:numPr>
          <w:ilvl w:val="0"/>
          <w:numId w:val="1003"/>
        </w:numPr>
        <w:pStyle w:val="Compact"/>
      </w:pPr>
      <w:r>
        <w:rPr>
          <w:bCs/>
          <w:b/>
        </w:rPr>
        <w:t xml:space="preserve">Cultural Preservation:</w:t>
      </w:r>
      <w:r>
        <w:t xml:space="preserve"> </w:t>
      </w:r>
      <w:r>
        <w:t xml:space="preserve">The proposed "Cultural Resonance Framework" will serve as a toolkit to prevent appropriation while empowering</w:t>
      </w:r>
      <w:r>
        <w:t xml:space="preserve"> </w:t>
      </w:r>
      <w:r>
        <w:rPr>
          <w:bCs/>
          <w:b/>
        </w:rPr>
        <w:t xml:space="preserve">Graphic Designer</w:t>
      </w:r>
      <w:r>
        <w:t xml:space="preserve">s to ethically reinterpret traditions. For instance, it could guide how *Maria Clara* silhouettes are modernized for Gen-Z audiences without reducing them to caricatures.</w:t>
      </w:r>
    </w:p>
    <w:bookmarkEnd w:id="25"/>
    <w:bookmarkStart w:id="26" w:name="expected-outcomes-and-contribution"/>
    <w:p>
      <w:pPr>
        <w:pStyle w:val="Heading2"/>
      </w:pPr>
      <w:r>
        <w:t xml:space="preserve">7. Expected Outcomes and Contribution</w:t>
      </w:r>
    </w:p>
    <w:p>
      <w:pPr>
        <w:pStyle w:val="FirstParagraph"/>
      </w:pPr>
      <w:r>
        <w:t xml:space="preserve">The thesis will deliver three tangible outputs:</w:t>
      </w:r>
    </w:p>
    <w:p>
      <w:pPr>
        <w:numPr>
          <w:ilvl w:val="0"/>
          <w:numId w:val="1004"/>
        </w:numPr>
        <w:pStyle w:val="Compact"/>
      </w:pPr>
      <w:r>
        <w:t xml:space="preserve">A published "Cultural Resonance Checklist" for Manila-based design studios, detailing how to assess cultural authenticity in projects (e.g., "Does this *banga* motif appear in 3+ regional contexts?").</w:t>
      </w:r>
    </w:p>
    <w:p>
      <w:pPr>
        <w:numPr>
          <w:ilvl w:val="0"/>
          <w:numId w:val="1004"/>
        </w:numPr>
        <w:pStyle w:val="Compact"/>
      </w:pPr>
      <w:r>
        <w:t xml:space="preserve">Policy recommendations for the National Commission for Culture and the Arts (NCCA) to incentivize culturally informed design through grants and partnerships with Manila's Digital Media Hub.</w:t>
      </w:r>
    </w:p>
    <w:p>
      <w:pPr>
        <w:numPr>
          <w:ilvl w:val="0"/>
          <w:numId w:val="1004"/>
        </w:numPr>
        <w:pStyle w:val="Compact"/>
      </w:pPr>
      <w:r>
        <w:t xml:space="preserve">A digital archive of 50+ approved Manila-specific visual assets (e.g., *pinya* fiber textures, *kalinga* patterns) licensed under Creative Commons for ethical use by all Philippine designers.</w:t>
      </w:r>
    </w:p>
    <w:p>
      <w:pPr>
        <w:pStyle w:val="FirstParagraph"/>
      </w:pPr>
      <w:r>
        <w:t xml:space="preserve">Crucially, this work challenges the notion that "local" design is a barrier to global success. Instead, it will demonstrate that Manila's unique position—as a city where Spanish colonialism, American influence, and pre-colonial heritage converge—fuels innovation. The thesis argues that when</w:t>
      </w:r>
      <w:r>
        <w:t xml:space="preserve"> </w:t>
      </w:r>
      <w:r>
        <w:rPr>
          <w:bCs/>
          <w:b/>
        </w:rPr>
        <w:t xml:space="preserve">Graphic Designer</w:t>
      </w:r>
      <w:r>
        <w:t xml:space="preserve">s in Manila master this synthesis (e.g., merging *kamag-anak* family tree visuals with minimalist UX), they create work that resonates globally *because* it is authentically Filipino.</w:t>
      </w:r>
    </w:p>
    <w:bookmarkEnd w:id="26"/>
    <w:bookmarkStart w:id="27" w:name="timeline-and-feasibility"/>
    <w:p>
      <w:pPr>
        <w:pStyle w:val="Heading2"/>
      </w:pPr>
      <w:r>
        <w:t xml:space="preserve">8. Timeline and Feasibility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1–2</w:t>
            </w:r>
          </w:p>
        </w:tc>
        <w:tc>
          <w:tcPr/>
          <w:p>
            <w:pPr>
              <w:pStyle w:val="Compact"/>
              <w:jc w:val="left"/>
            </w:pPr>
            <w:r>
              <w:t xml:space="preserve">Months 3–4</w:t>
            </w:r>
          </w:p>
        </w:tc>
        <w:tc>
          <w:tcPr/>
          <w:p>
            <w:pPr>
              <w:pStyle w:val="Compact"/>
              <w:jc w:val="left"/>
            </w:pPr>
            <w:r>
              <w:t xml:space="preserve">Months 5–6</w:t>
            </w:r>
          </w:p>
        </w:tc>
      </w:tr>
      <w:tr>
        <w:tc>
          <w:tcPr/>
          <w:p>
            <w:pPr>
              <w:pStyle w:val="Compact"/>
              <w:jc w:val="left"/>
            </w:pPr>
            <w:r>
              <w:rPr>
                <w:bCs/>
                <w:b/>
              </w:rPr>
              <w:t xml:space="preserve">Literature Review &amp; Ethics Approval</w:t>
            </w:r>
          </w:p>
        </w:tc>
        <w:tc>
          <w:tcPr>
            <w:gridSpan w:val="2"/>
          </w:tcPr>
          <w:p>
            <w:pPr>
              <w:pStyle w:val="Compact"/>
              <w:jc w:val="left"/>
            </w:pPr>
            <w:r>
              <w:t xml:space="preserve">✓ (Approved by Ateneo de Manila University Ethics Board)</w:t>
            </w:r>
          </w:p>
        </w:tc>
        <w:tc>
          <w:tcPr/>
          <w:p>
            <w:pPr>
              <w:pStyle w:val="Compact"/>
            </w:pPr>
          </w:p>
        </w:tc>
      </w:tr>
      <w:tr>
        <w:tc>
          <w:tcPr/>
          <w:p>
            <w:pPr>
              <w:pStyle w:val="Compact"/>
              <w:jc w:val="left"/>
            </w:pPr>
            <w:r>
              <w:rPr>
                <w:bCs/>
                <w:b/>
              </w:rPr>
              <w:t xml:space="preserve">Data Collection: Interviews + Surveys</w:t>
            </w:r>
          </w:p>
        </w:tc>
        <w:tc>
          <w:tcPr/>
          <w:p>
            <w:pPr>
              <w:pStyle w:val="Compact"/>
            </w:pPr>
          </w:p>
        </w:tc>
        <w:tc>
          <w:tcPr/>
          <w:p>
            <w:pPr>
              <w:pStyle w:val="Compact"/>
              <w:jc w:val="left"/>
            </w:pPr>
            <w:r>
              <w:t xml:space="preserve">✓ (Target: 15 designers, 200 survey respondents)</w:t>
            </w:r>
          </w:p>
        </w:tc>
        <w:tc>
          <w:tcPr/>
          <w:p>
            <w:pPr>
              <w:pStyle w:val="Compact"/>
            </w:pPr>
          </w:p>
        </w:tc>
      </w:tr>
      <w:tr>
        <w:tc>
          <w:tcPr/>
          <w:p>
            <w:pPr>
              <w:pStyle w:val="Compact"/>
              <w:jc w:val="left"/>
            </w:pPr>
            <w:r>
              <w:rPr>
                <w:bCs/>
                <w:b/>
              </w:rPr>
              <w:t xml:space="preserve">Workshop Implementation</w:t>
            </w:r>
          </w:p>
        </w:tc>
        <w:tc>
          <w:tcPr>
            <w:gridSpan w:val="2"/>
          </w:tcPr>
          <w:p>
            <w:pPr>
              <w:pStyle w:val="Compact"/>
            </w:pPr>
          </w:p>
        </w:tc>
        <w:tc>
          <w:tcPr/>
          <w:p>
            <w:pPr>
              <w:pStyle w:val="Compact"/>
              <w:jc w:val="left"/>
            </w:pPr>
            <w:r>
              <w:t xml:space="preserve">✓ (Quezon City studios, NCCA collaboration)</w:t>
            </w:r>
          </w:p>
        </w:tc>
      </w:tr>
      <w:tr>
        <w:tc>
          <w:tcPr/>
          <w:p>
            <w:pPr>
              <w:pStyle w:val="Compact"/>
              <w:jc w:val="left"/>
            </w:pPr>
            <w:r>
              <w:rPr>
                <w:bCs/>
                <w:b/>
              </w:rPr>
              <w:t xml:space="preserve">Analysis &amp; Drafting</w:t>
            </w:r>
          </w:p>
        </w:tc>
        <w:tc>
          <w:tcPr>
            <w:gridSpan w:val="3"/>
          </w:tcPr>
          <w:p>
            <w:pPr>
              <w:pStyle w:val="Compact"/>
              <w:jc w:val="left"/>
            </w:pPr>
            <w:r>
              <w:t xml:space="preserve">✓</w:t>
            </w:r>
          </w:p>
        </w:tc>
      </w:tr>
    </w:tbl>
    <w:bookmarkEnd w:id="27"/>
    <w:bookmarkStart w:id="28" w:name="conclusion"/>
    <w:p>
      <w:pPr>
        <w:pStyle w:val="Heading2"/>
      </w:pPr>
      <w:r>
        <w:t xml:space="preserve">9. Conclusion</w:t>
      </w:r>
    </w:p>
    <w:p>
      <w:pPr>
        <w:pStyle w:val="FirstParagraph"/>
      </w:pPr>
      <w:r>
        <w:t xml:space="preserve">In an era where Manila’s digital landscape is defined by both rapid innovation and cultural vulnerability, this</w:t>
      </w:r>
      <w:r>
        <w:t xml:space="preserve"> </w:t>
      </w:r>
      <w:r>
        <w:rPr>
          <w:bCs/>
          <w:b/>
        </w:rPr>
        <w:t xml:space="preserve">Thesis Proposal</w:t>
      </w:r>
      <w:r>
        <w:t xml:space="preserve"> </w:t>
      </w:r>
      <w:r>
        <w:t xml:space="preserve">positions the</w:t>
      </w:r>
      <w:r>
        <w:t xml:space="preserve"> </w:t>
      </w:r>
      <w:r>
        <w:rPr>
          <w:bCs/>
          <w:b/>
        </w:rPr>
        <w:t xml:space="preserve">Graphic Designer</w:t>
      </w:r>
      <w:r>
        <w:t xml:space="preserve"> </w:t>
      </w:r>
      <w:r>
        <w:t xml:space="preserve">not as a mere technician but as a guardian of identity. By centering the Manila experience—the city where *jeepneys* bear *tiklos* murals and TikTok trends remix *harana* serenades—this research offers actionable pathways for creative professionals to turn cultural heritage into competitive advantage. The Philippines’ $12 billion digital economy depends on such insights. As this study progresses, it will affirm that the most compelling graphic design emerging from Manila isn’t just seen; it’s felt by millions who recognize their stories reflected in pixels and paint.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Designers in Shaping Cultural Identity Through Digital Media in Manila, Philippines</dc:title>
  <dc:creator/>
  <dc:language>en</dc:language>
  <cp:keywords/>
  <dcterms:created xsi:type="dcterms:W3CDTF">2026-07-19T06:06:32Z</dcterms:created>
  <dcterms:modified xsi:type="dcterms:W3CDTF">2026-07-19T06:06:32Z</dcterms:modified>
</cp:coreProperties>
</file>

<file path=docProps/custom.xml><?xml version="1.0" encoding="utf-8"?>
<Properties xmlns="http://schemas.openxmlformats.org/officeDocument/2006/custom-properties" xmlns:vt="http://schemas.openxmlformats.org/officeDocument/2006/docPropsVTypes"/>
</file>