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Creative</w:t>
      </w:r>
      <w:r>
        <w:t xml:space="preserve"> </w:t>
      </w:r>
      <w:r>
        <w:t xml:space="preserve">Economy</w:t>
      </w:r>
    </w:p>
    <w:bookmarkStart w:id="29" w:name="X5153185ddec1d255660243b6aa8c403b27ab570"/>
    <w:p>
      <w:pPr>
        <w:pStyle w:val="Heading1"/>
      </w:pPr>
      <w:r>
        <w:t xml:space="preserve">Thesis Proposal: The Evolving Role of Graphic Designers in Tanzania Dar es Salaam's Creative Economy</w:t>
      </w:r>
    </w:p>
    <w:bookmarkStart w:id="20" w:name="introduction"/>
    <w:p>
      <w:pPr>
        <w:pStyle w:val="Heading2"/>
      </w:pPr>
      <w:r>
        <w:t xml:space="preserve">Introduction</w:t>
      </w:r>
    </w:p>
    <w:p>
      <w:pPr>
        <w:pStyle w:val="FirstParagraph"/>
      </w:pPr>
      <w:r>
        <w:t xml:space="preserve">The creative economy has emerged as a critical driver of economic diversification in Africa, with Tanzania positioning itself as a regional hub for innovation. Within this context, the role of the Graphic Designer has evolved from mere visual communicators to strategic brand architects, particularly in Tanzania's commercial epicenter—Dar es Salaam. This Thesis Proposal outlines research into how Graphic Designers operating within Tanzania Dar es Salaam navigate cultural identity, market demands, and technological shifts while contributing to national economic development. As Tanzania accelerates its digital transformation through initiatives like the National ICT Policy 2023, understanding the graphic design profession's trajectory becomes essential for policymakers and creative entrepreneurs alike.</w:t>
      </w:r>
    </w:p>
    <w:bookmarkEnd w:id="20"/>
    <w:bookmarkStart w:id="21" w:name="problem-statement"/>
    <w:p>
      <w:pPr>
        <w:pStyle w:val="Heading2"/>
      </w:pPr>
      <w:r>
        <w:t xml:space="preserve">Problem Statement</w:t>
      </w:r>
    </w:p>
    <w:p>
      <w:pPr>
        <w:pStyle w:val="FirstParagraph"/>
      </w:pPr>
      <w:r>
        <w:t xml:space="preserve">Despite Dar es Salaam's status as East Africa's third-largest urban economy and a magnet for creative talent, there is a significant gap in empirical research examining the professional landscape of Graphic Designers within Tanzania. Current studies focus either on Western design paradigms or general African creative industries without addressing Tanzania-specific socio-economic contexts. This oversight creates challenges: local Graphic Designers struggle with inconsistent client expectations, limited access to industry-standard software, and cultural misalignment between global branding trends and indigenous Tanzanian narratives. Consequently, the profession's potential to drive sustainable economic growth through culturally resonant visual communication remains underutilized in Tanzania Dar es Salaam.</w:t>
      </w:r>
    </w:p>
    <w:bookmarkEnd w:id="21"/>
    <w:bookmarkStart w:id="22" w:name="research-objectives"/>
    <w:p>
      <w:pPr>
        <w:pStyle w:val="Heading2"/>
      </w:pPr>
      <w:r>
        <w:t xml:space="preserve">Research Objectives</w:t>
      </w:r>
    </w:p>
    <w:p>
      <w:pPr>
        <w:pStyle w:val="FirstParagraph"/>
      </w:pPr>
      <w:r>
        <w:t xml:space="preserve">This thesis proposes to investigate four key dimensions:</w:t>
      </w:r>
    </w:p>
    <w:p>
      <w:pPr>
        <w:numPr>
          <w:ilvl w:val="0"/>
          <w:numId w:val="1001"/>
        </w:numPr>
        <w:pStyle w:val="Compact"/>
      </w:pPr>
      <w:r>
        <w:t xml:space="preserve">To analyze how Graphic Designers in Tanzania Dar es Salaam adapt global design principles to local cultural and linguistic contexts (Swahili, tribal symbols, religious motifs)</w:t>
      </w:r>
    </w:p>
    <w:p>
      <w:pPr>
        <w:numPr>
          <w:ilvl w:val="0"/>
          <w:numId w:val="1001"/>
        </w:numPr>
        <w:pStyle w:val="Compact"/>
      </w:pPr>
      <w:r>
        <w:t xml:space="preserve">To assess the economic impact of graphic design services on small and medium enterprises (SMEs) in Dar es Salaam's burgeoning startup ecosystem</w:t>
      </w:r>
    </w:p>
    <w:p>
      <w:pPr>
        <w:numPr>
          <w:ilvl w:val="0"/>
          <w:numId w:val="1001"/>
        </w:numPr>
        <w:pStyle w:val="Compact"/>
      </w:pPr>
      <w:r>
        <w:t xml:space="preserve">To evaluate technological barriers affecting Graphic Designers' productivity, including internet accessibility and software affordability</w:t>
      </w:r>
    </w:p>
    <w:p>
      <w:pPr>
        <w:numPr>
          <w:ilvl w:val="0"/>
          <w:numId w:val="1001"/>
        </w:numPr>
        <w:pStyle w:val="Compact"/>
      </w:pPr>
      <w:r>
        <w:t xml:space="preserve">To propose a culturally grounded professional framework for Graphic Designers that aligns with Tanzania's Vision 2025 development goals</w:t>
      </w:r>
    </w:p>
    <w:bookmarkEnd w:id="22"/>
    <w:bookmarkStart w:id="23" w:name="literature-review"/>
    <w:p>
      <w:pPr>
        <w:pStyle w:val="Heading2"/>
      </w:pPr>
      <w:r>
        <w:t xml:space="preserve">Literature Review</w:t>
      </w:r>
    </w:p>
    <w:p>
      <w:pPr>
        <w:pStyle w:val="FirstParagraph"/>
      </w:pPr>
      <w:r>
        <w:t xml:space="preserve">Existing scholarship on design in Africa predominantly centers on South Africa and Nigeria, with scant attention to East African contexts. While studies by Mwakwere (2019) examine Swahili typography in digital media, and Nkosi's (2021) work explores African branding aesthetics, neither addresses Tanzania's unique position as a nation with over 120 ethnic groups and a growing digital economy. Recent reports from the Tanzania Communication Regulatory Authority (TCRA) indicate that 78% of Dar es Salaam-based startups now require professional visual branding, yet only 35% can afford full-service design agencies. This disconnect underscores the urgency for context-specific research to bridge design theory with Tanzanian market realities.</w:t>
      </w:r>
    </w:p>
    <w:bookmarkEnd w:id="23"/>
    <w:bookmarkStart w:id="24" w:name="methodology"/>
    <w:p>
      <w:pPr>
        <w:pStyle w:val="Heading2"/>
      </w:pPr>
      <w:r>
        <w:t xml:space="preserve">Methodology</w:t>
      </w:r>
    </w:p>
    <w:p>
      <w:pPr>
        <w:pStyle w:val="FirstParagraph"/>
      </w:pPr>
      <w:r>
        <w:t xml:space="preserve">This mixed-methods study will employ three sequential phases:</w:t>
      </w:r>
    </w:p>
    <w:p>
      <w:pPr>
        <w:numPr>
          <w:ilvl w:val="0"/>
          <w:numId w:val="1002"/>
        </w:numPr>
        <w:pStyle w:val="Compact"/>
      </w:pPr>
      <w:r>
        <w:rPr>
          <w:bCs/>
          <w:b/>
        </w:rPr>
        <w:t xml:space="preserve">Quantitative Survey:</w:t>
      </w:r>
      <w:r>
        <w:t xml:space="preserve"> </w:t>
      </w:r>
      <w:r>
        <w:t xml:space="preserve">Online questionnaires distributed to 150 Graphic Designers registered with the Tanzania Association of Creative Professionals (TACP) across Dar es Salaam, measuring income levels, client demographics, and technological constraints.</w:t>
      </w:r>
    </w:p>
    <w:p>
      <w:pPr>
        <w:numPr>
          <w:ilvl w:val="0"/>
          <w:numId w:val="1002"/>
        </w:numPr>
        <w:pStyle w:val="Compact"/>
      </w:pPr>
      <w:r>
        <w:rPr>
          <w:bCs/>
          <w:b/>
        </w:rPr>
        <w:t xml:space="preserve">Qualitative Case Studies:</w:t>
      </w:r>
      <w:r>
        <w:t xml:space="preserve"> </w:t>
      </w:r>
      <w:r>
        <w:t xml:space="preserve">In-depth interviews with 20 leading Graphic Designers from diverse backgrounds (e.g., Mwanza-based designer now in Dar es Salaam; women-owned creative studios) examining cultural adaptation strategies.</w:t>
      </w:r>
    </w:p>
    <w:p>
      <w:pPr>
        <w:numPr>
          <w:ilvl w:val="0"/>
          <w:numId w:val="1002"/>
        </w:numPr>
        <w:pStyle w:val="Compact"/>
      </w:pPr>
      <w:r>
        <w:rPr>
          <w:bCs/>
          <w:b/>
        </w:rPr>
        <w:t xml:space="preserve">Stakeholder Workshops:</w:t>
      </w:r>
      <w:r>
        <w:t xml:space="preserve"> </w:t>
      </w:r>
      <w:r>
        <w:t xml:space="preserve">Collaborative sessions with 10 SME owners and university design educators at the University of Dar es Salaam to co-develop a competency framework for Tanzania's Graphic Designers.</w:t>
      </w:r>
    </w:p>
    <w:p>
      <w:pPr>
        <w:pStyle w:val="FirstParagraph"/>
      </w:pPr>
      <w:r>
        <w:t xml:space="preserve">Data will be analyzed through thematic coding (Braun &amp; Clarke, 2006) and statistical correlation using SPSS. Ethical approval will be sought from the University of Dar es Salaam Research Ethics Committee, with all participants anonymized in reporting.</w:t>
      </w:r>
    </w:p>
    <w:bookmarkEnd w:id="24"/>
    <w:bookmarkStart w:id="25" w:name="expected-contributions"/>
    <w:p>
      <w:pPr>
        <w:pStyle w:val="Heading2"/>
      </w:pPr>
      <w:r>
        <w:t xml:space="preserve">Expected Contributions</w:t>
      </w:r>
    </w:p>
    <w:p>
      <w:pPr>
        <w:pStyle w:val="FirstParagraph"/>
      </w:pPr>
      <w:r>
        <w:t xml:space="preserve">This Thesis Proposal will deliver three key contributions to academia and practice:</w:t>
      </w:r>
    </w:p>
    <w:p>
      <w:pPr>
        <w:numPr>
          <w:ilvl w:val="0"/>
          <w:numId w:val="1003"/>
        </w:numPr>
        <w:pStyle w:val="Compact"/>
      </w:pPr>
      <w:r>
        <w:rPr>
          <w:bCs/>
          <w:b/>
        </w:rPr>
        <w:t xml:space="preserve">Theoretical:</w:t>
      </w:r>
      <w:r>
        <w:t xml:space="preserve"> </w:t>
      </w:r>
      <w:r>
        <w:t xml:space="preserve">A culturally specific design theory model ("Ubuntu Aesthetics") integrating African collectivist values with contemporary branding principles, addressing the void in African-centered design scholarship.</w:t>
      </w:r>
    </w:p>
    <w:p>
      <w:pPr>
        <w:numPr>
          <w:ilvl w:val="0"/>
          <w:numId w:val="1003"/>
        </w:numPr>
        <w:pStyle w:val="Compact"/>
      </w:pPr>
      <w:r>
        <w:rPr>
          <w:bCs/>
          <w:b/>
        </w:rPr>
        <w:t xml:space="preserve">Practical:</w:t>
      </w:r>
      <w:r>
        <w:t xml:space="preserve"> </w:t>
      </w:r>
      <w:r>
        <w:t xml:space="preserve">An open-access toolkit for Graphic Designers in Tanzania Dar es Salaam, including Swahili-language design templates, cost-effective software alternatives (e.g., free vector tools), and guidelines for ethically incorporating indigenous patterns without cultural appropriation.</w:t>
      </w:r>
    </w:p>
    <w:p>
      <w:pPr>
        <w:numPr>
          <w:ilvl w:val="0"/>
          <w:numId w:val="1003"/>
        </w:numPr>
        <w:pStyle w:val="Compact"/>
      </w:pPr>
      <w:r>
        <w:rPr>
          <w:bCs/>
          <w:b/>
        </w:rPr>
        <w:t xml:space="preserve">Policy:</w:t>
      </w:r>
      <w:r>
        <w:t xml:space="preserve"> </w:t>
      </w:r>
      <w:r>
        <w:t xml:space="preserve">Evidence-based recommendations for the Tanzania Ministry of Information to integrate graphic design education into national vocational training programs and incentivize SMEs to invest in professional branding through tax breaks.</w:t>
      </w:r>
    </w:p>
    <w:bookmarkEnd w:id="25"/>
    <w:bookmarkStart w:id="26" w:name="timeline-and-feasibility"/>
    <w:p>
      <w:pPr>
        <w:pStyle w:val="Heading2"/>
      </w:pPr>
      <w:r>
        <w:t xml:space="preserve">Timeline and Feasibility</w:t>
      </w:r>
    </w:p>
    <w:p>
      <w:pPr>
        <w:pStyle w:val="FirstParagraph"/>
      </w:pPr>
      <w:r>
        <w:t xml:space="preserve">The research will be conducted over 18 months within Tanzania Dar es Salaam's operational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Quantitative survey execution; Initial stakeholder mapping</w:t>
            </w:r>
          </w:p>
        </w:tc>
      </w:tr>
      <w:tr>
        <w:tc>
          <w:tcPr/>
          <w:p>
            <w:pPr>
              <w:pStyle w:val="Compact"/>
              <w:jc w:val="left"/>
            </w:pPr>
            <w:r>
              <w:t xml:space="preserve">7-10</w:t>
            </w:r>
          </w:p>
        </w:tc>
        <w:tc>
          <w:tcPr/>
          <w:p>
            <w:pPr>
              <w:pStyle w:val="Compact"/>
              <w:jc w:val="left"/>
            </w:pPr>
            <w:r>
              <w:t xml:space="preserve">Coding interviews; Workshop planning with TACP</w:t>
            </w:r>
          </w:p>
        </w:tc>
      </w:tr>
      <w:tr>
        <w:tc>
          <w:tcPr/>
          <w:p>
            <w:pPr>
              <w:pStyle w:val="Compact"/>
              <w:jc w:val="left"/>
            </w:pPr>
            <w:r>
              <w:t xml:space="preserve">11-14</w:t>
            </w:r>
          </w:p>
        </w:tc>
        <w:tc>
          <w:tcPr/>
          <w:p>
            <w:pPr>
              <w:pStyle w:val="Compact"/>
              <w:jc w:val="left"/>
            </w:pPr>
            <w:r>
              <w:t xml:space="preserve">Workshop implementation; Drafting competency framework</w:t>
            </w:r>
          </w:p>
        </w:tc>
      </w:tr>
      <w:tr>
        <w:tc>
          <w:tcPr/>
          <w:p>
            <w:pPr>
              <w:pStyle w:val="Compact"/>
              <w:jc w:val="left"/>
            </w:pPr>
            <w:r>
              <w:t xml:space="preserve">15-18</w:t>
            </w:r>
          </w:p>
        </w:tc>
        <w:tc>
          <w:tcPr/>
          <w:p>
            <w:pPr>
              <w:pStyle w:val="Compact"/>
              <w:jc w:val="left"/>
            </w:pPr>
            <w:r>
              <w:t xml:space="preserve">Dissertation writing; Policy brief preparation</w:t>
            </w:r>
          </w:p>
        </w:tc>
      </w:tr>
    </w:tbl>
    <w:bookmarkEnd w:id="26"/>
    <w:bookmarkStart w:id="27" w:name="X35e8896a657905c08e2e6d15a993a97170b02ed"/>
    <w:p>
      <w:pPr>
        <w:pStyle w:val="Heading2"/>
      </w:pPr>
      <w:r>
        <w:t xml:space="preserve">Conclusion: Why Tanzania Dar es Salaam Matters Now</w:t>
      </w:r>
    </w:p>
    <w:p>
      <w:pPr>
        <w:pStyle w:val="FirstParagraph"/>
      </w:pPr>
      <w:r>
        <w:t xml:space="preserve">Tanzania Dar es Salaam represents a microcosm of Africa's creative potential, where Graphic Designers serve as cultural translators between global markets and local communities. This Thesis Proposal responds to an urgent need: without understanding how designers operate in this dynamic environment, Tanzania risks missing a key opportunity to harness its creative sector for inclusive growth. As the world increasingly recognizes design as economic infrastructure—as evidenced by UNESCO's Creative Economy Report 2023—the professional trajectory of Graphic Designers in Dar es Salaam is not merely a local concern but a blueprint for emerging economies across Africa. This research will empower Tanzania's creative workforce to move beyond "design" as a service toward "design" as strategic nation-building, ensuring that the visual language of Tanzania reflects its rich diversity while competing globally.</w:t>
      </w:r>
    </w:p>
    <w:bookmarkEnd w:id="27"/>
    <w:bookmarkStart w:id="28" w:name="references"/>
    <w:p>
      <w:pPr>
        <w:pStyle w:val="Heading2"/>
      </w:pPr>
      <w:r>
        <w:t xml:space="preserve">References</w:t>
      </w:r>
    </w:p>
    <w:p>
      <w:pPr>
        <w:pStyle w:val="FirstParagraph"/>
      </w:pPr>
      <w:r>
        <w:t xml:space="preserve">Mwakwere, J. (2019). *Swahili Typography in Digital Media*. Dar es Salaam University Press.</w:t>
      </w:r>
      <w:r>
        <w:br/>
      </w:r>
      <w:r>
        <w:t xml:space="preserve">Nkosi, T. (2021). African Branding Aesthetics: Beyond the "Safari Look". *Journal of African Design*, 8(2), 45-67.</w:t>
      </w:r>
      <w:r>
        <w:br/>
      </w:r>
      <w:r>
        <w:t xml:space="preserve">Tanzania Communication Regulatory Authority (TCRA). (2023). *Digital Economy Report*. Dar es Salaam.</w:t>
      </w:r>
      <w:r>
        <w:br/>
      </w:r>
      <w:r>
        <w:t xml:space="preserve">UNESCO. (2023). *Creative Economy Report: Africa*. Paris: UNESCO Publishing.</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Designers in Tanzania Dar es Salaam's Creative Economy</dc:title>
  <dc:creator/>
  <dc:language>en</dc:language>
  <cp:keywords/>
  <dcterms:created xsi:type="dcterms:W3CDTF">2026-07-21T08:24:05Z</dcterms:created>
  <dcterms:modified xsi:type="dcterms:W3CDTF">2026-07-21T08:24:05Z</dcterms:modified>
</cp:coreProperties>
</file>

<file path=docProps/custom.xml><?xml version="1.0" encoding="utf-8"?>
<Properties xmlns="http://schemas.openxmlformats.org/officeDocument/2006/custom-properties" xmlns:vt="http://schemas.openxmlformats.org/officeDocument/2006/docPropsVTypes"/>
</file>