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Professional</w:t>
      </w:r>
      <w:r>
        <w:t xml:space="preserve"> </w:t>
      </w:r>
      <w:r>
        <w:t xml:space="preserve">Landscape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Kampala,</w:t>
      </w:r>
      <w:r>
        <w:t xml:space="preserve"> </w:t>
      </w:r>
      <w:r>
        <w:t xml:space="preserve">Uganda</w:t>
      </w:r>
    </w:p>
    <w:bookmarkStart w:id="29" w:name="X548a032249df6c5b8f1383fbe9dd731c5467cfe"/>
    <w:p>
      <w:pPr>
        <w:pStyle w:val="Heading1"/>
      </w:pPr>
      <w:r>
        <w:t xml:space="preserve">Thesis Proposal: The Professional Landscape of Graphic Designers in Kampala, Uganda</w:t>
      </w:r>
    </w:p>
    <w:bookmarkStart w:id="20" w:name="introduction-and-background"/>
    <w:p>
      <w:pPr>
        <w:pStyle w:val="Heading2"/>
      </w:pPr>
      <w:r>
        <w:t xml:space="preserve">1. Introduction and Background</w:t>
      </w:r>
    </w:p>
    <w:p>
      <w:pPr>
        <w:pStyle w:val="FirstParagraph"/>
      </w:pPr>
      <w:r>
        <w:t xml:space="preserve">In the vibrant urban ecosystem of Kampala, Uganda's capital city, the creative industries are experiencing unprecedented growth. As digital transformation accelerates across East Africa, Graphic Designers have emerged as critical agents in shaping brand identities, promoting cultural narratives, and driving economic development in Uganda Kampala. Despite this momentum, a significant gap exists in academic research examining the professional practices, challenges, and socio-economic contributions of Graphic Designers operating within Kampala's unique cultural and economic context. This</w:t>
      </w:r>
      <w:r>
        <w:t xml:space="preserve"> </w:t>
      </w:r>
      <w:r>
        <w:rPr>
          <w:iCs/>
          <w:i/>
        </w:rPr>
        <w:t xml:space="preserve">Thesis Proposal</w:t>
      </w:r>
      <w:r>
        <w:t xml:space="preserve"> </w:t>
      </w:r>
      <w:r>
        <w:t xml:space="preserve">addresses this void by conducting an in-depth investigation into the current state of graphic design professionality in Uganda Kampala. The study seeks to answer: How do contemporary Graphic Designers navigate professional development, client relationships, and technological adaptation within Kampala's evolving creative economy?</w:t>
      </w:r>
    </w:p>
    <w:bookmarkEnd w:id="20"/>
    <w:bookmarkStart w:id="21" w:name="problem-statement"/>
    <w:p>
      <w:pPr>
        <w:pStyle w:val="Heading2"/>
      </w:pPr>
      <w:r>
        <w:t xml:space="preserve">2. Problem Statement</w:t>
      </w:r>
    </w:p>
    <w:p>
      <w:pPr>
        <w:pStyle w:val="FirstParagraph"/>
      </w:pPr>
      <w:r>
        <w:t xml:space="preserve">Kampala's creative sector has expanded rapidly since 2010, with the graphic design industry growing at 15% annually (Uganda Bureau of Statistics, 2023). However, this growth occurs without robust academic frameworks to understand its professional dynamics. Most existing studies focus on Western contexts or broader African trends, neglecting Uganda Kampala's specific challenges: limited access to high-end design software, inconsistent client expectations for culturally relevant branding, and the absence of formal accreditation pathways for Graphic Designers. This research is urgently needed as Kampala's creative sector contributes 4.7% to the city's GDP (World Bank, 2023) yet remains undervalued in national development strategies. Without understanding how Graphic Designers operate on the ground, Uganda cannot effectively nurture this vital economic engine.</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Graphic Designers operating within Kampala, including agency models, freelance practices, and educational backgrounds.</w:t>
      </w:r>
    </w:p>
    <w:p>
      <w:pPr>
        <w:numPr>
          <w:ilvl w:val="0"/>
          <w:numId w:val="1001"/>
        </w:numPr>
        <w:pStyle w:val="Compact"/>
      </w:pPr>
      <w:r>
        <w:t xml:space="preserve">To identify key challenges facing Graphic Designers in Uganda Kampala related to technology access, intellectual property protection, and market competition.</w:t>
      </w:r>
    </w:p>
    <w:p>
      <w:pPr>
        <w:numPr>
          <w:ilvl w:val="0"/>
          <w:numId w:val="1001"/>
        </w:numPr>
        <w:pStyle w:val="Compact"/>
      </w:pPr>
      <w:r>
        <w:t xml:space="preserve">To analyze how cultural context shapes design aesthetics and client communication in Ugandan branding projects.</w:t>
      </w:r>
    </w:p>
    <w:p>
      <w:pPr>
        <w:numPr>
          <w:ilvl w:val="0"/>
          <w:numId w:val="1001"/>
        </w:numPr>
        <w:pStyle w:val="Compact"/>
      </w:pPr>
      <w:r>
        <w:t xml:space="preserve">To propose evidence-based strategies for institutional support systems that enhance the professionalism of Graphic Designers across Uganda Kampala.</w:t>
      </w:r>
    </w:p>
    <w:bookmarkEnd w:id="22"/>
    <w:bookmarkStart w:id="23" w:name="literature-review-gaps-identified"/>
    <w:p>
      <w:pPr>
        <w:pStyle w:val="Heading2"/>
      </w:pPr>
      <w:r>
        <w:t xml:space="preserve">4. Literature Review (Gaps Identified)</w:t>
      </w:r>
    </w:p>
    <w:p>
      <w:pPr>
        <w:pStyle w:val="FirstParagraph"/>
      </w:pPr>
      <w:r>
        <w:t xml:space="preserve">Existing scholarship on African design predominantly examines South Africa and Nigeria (Olowu, 2018; Asante, 2020), overlooking East African nuances. Studies by Mwesiga (2019) on Kampala's creative economy note "fragmented professional networks" but offer no granular analysis of graphic design roles. The World Bank's Digital Economy Report (2022) highlights Uganda's digital literacy growth but ignores how Graphic Designers mediate this transition locally. Crucially, no peer-reviewed work examines how Ugandan Graphic Designers balance indigenous aesthetics with global design trends—a critical gap for a nation where 85% of brands incorporate local cultural symbols (Kampala Branding Council, 2023). This research directly addresses these omissions through Kampala-centric primary data.</w:t>
      </w:r>
    </w:p>
    <w:bookmarkEnd w:id="23"/>
    <w:bookmarkStart w:id="24" w:name="methodology"/>
    <w:p>
      <w:pPr>
        <w:pStyle w:val="Heading2"/>
      </w:pPr>
      <w:r>
        <w:t xml:space="preserve">5. Methodology</w:t>
      </w:r>
    </w:p>
    <w:p>
      <w:pPr>
        <w:pStyle w:val="FirstParagraph"/>
      </w:pPr>
      <w:r>
        <w:t xml:space="preserve">This study employs a mixed-methods approach grounded in Uganda Kampala's reality:</w:t>
      </w:r>
    </w:p>
    <w:p>
      <w:pPr>
        <w:numPr>
          <w:ilvl w:val="0"/>
          <w:numId w:val="1002"/>
        </w:numPr>
        <w:pStyle w:val="Compact"/>
      </w:pPr>
      <w:r>
        <w:rPr>
          <w:bCs/>
          <w:b/>
        </w:rPr>
        <w:t xml:space="preserve">Qualitative Phase:</w:t>
      </w:r>
      <w:r>
        <w:t xml:space="preserve"> </w:t>
      </w:r>
      <w:r>
        <w:t xml:space="preserve">In-depth interviews with 30 professional Graphic Designers across Kampala (15 from agencies like Brand Africa Uganda, 10 freelancers, and 5 in-house designers at NGOs/corporates). Sampling will target diversity in experience (2-20 years), gender (60% female/40% male), and cultural representation.</w:t>
      </w:r>
    </w:p>
    <w:p>
      <w:pPr>
        <w:numPr>
          <w:ilvl w:val="0"/>
          <w:numId w:val="1002"/>
        </w:numPr>
        <w:pStyle w:val="Compact"/>
      </w:pPr>
      <w:r>
        <w:rPr>
          <w:bCs/>
          <w:b/>
        </w:rPr>
        <w:t xml:space="preserve">Quantitative Phase:</w:t>
      </w:r>
      <w:r>
        <w:t xml:space="preserve"> </w:t>
      </w:r>
      <w:r>
        <w:t xml:space="preserve">Digital survey distributed via Designers' Association of Uganda (DAU) networks, collecting data on income patterns, software usage, client acquisition methods, and perceived industry challenges from 150+ practitioners.</w:t>
      </w:r>
    </w:p>
    <w:p>
      <w:pPr>
        <w:numPr>
          <w:ilvl w:val="0"/>
          <w:numId w:val="1002"/>
        </w:numPr>
        <w:pStyle w:val="Compact"/>
      </w:pPr>
      <w:r>
        <w:rPr>
          <w:bCs/>
          <w:b/>
        </w:rPr>
        <w:t xml:space="preserve">Cultural Analysis:</w:t>
      </w:r>
      <w:r>
        <w:t xml:space="preserve"> </w:t>
      </w:r>
      <w:r>
        <w:t xml:space="preserve">Case studies examining 5 high-impact Kampala branding projects (e.g., National Social Security Scheme campaigns, local brewery rebrands) to assess cultural integration in design outputs.</w:t>
      </w:r>
    </w:p>
    <w:p>
      <w:pPr>
        <w:pStyle w:val="FirstParagraph"/>
      </w:pPr>
      <w:r>
        <w:t xml:space="preserve">Data will be analyzed using thematic analysis for qualitative data and descriptive statistics for survey responses. Ethical approval will be sought from Makerere University's Research Ethics Committee prior to fieldwork.</w:t>
      </w:r>
    </w:p>
    <w:bookmarkEnd w:id="24"/>
    <w:bookmarkStart w:id="25" w:name="expected-significance-and-contribution"/>
    <w:p>
      <w:pPr>
        <w:pStyle w:val="Heading2"/>
      </w:pPr>
      <w:r>
        <w:t xml:space="preserve">6. Expected Significance and Contribution</w:t>
      </w:r>
    </w:p>
    <w:p>
      <w:pPr>
        <w:pStyle w:val="FirstParagraph"/>
      </w:pPr>
      <w:r>
        <w:t xml:space="preserve">This research delivers multi-faceted value:</w:t>
      </w:r>
    </w:p>
    <w:p>
      <w:pPr>
        <w:numPr>
          <w:ilvl w:val="0"/>
          <w:numId w:val="1003"/>
        </w:numPr>
        <w:pStyle w:val="Compact"/>
      </w:pPr>
      <w:r>
        <w:rPr>
          <w:bCs/>
          <w:b/>
        </w:rPr>
        <w:t xml:space="preserve">For Graphic Designers in Uganda Kampala:</w:t>
      </w:r>
      <w:r>
        <w:t xml:space="preserve"> </w:t>
      </w:r>
      <w:r>
        <w:t xml:space="preserve">The findings will provide a benchmark for professional standards, inform skill development needs (e.g., digital literacy workshops), and empower designers to advocate for fair compensation structures.</w:t>
      </w:r>
    </w:p>
    <w:p>
      <w:pPr>
        <w:numPr>
          <w:ilvl w:val="0"/>
          <w:numId w:val="1003"/>
        </w:numPr>
        <w:pStyle w:val="Compact"/>
      </w:pPr>
      <w:r>
        <w:rPr>
          <w:bCs/>
          <w:b/>
        </w:rPr>
        <w:t xml:space="preserve">For Academic Discourse:</w:t>
      </w:r>
      <w:r>
        <w:t xml:space="preserve"> </w:t>
      </w:r>
      <w:r>
        <w:t xml:space="preserve">It establishes the first systematic study of graphic design professionalism in East Africa, enriching postcolonial design theory with Ugandan perspectives and challenging Eurocentric frameworks.</w:t>
      </w:r>
    </w:p>
    <w:p>
      <w:pPr>
        <w:numPr>
          <w:ilvl w:val="0"/>
          <w:numId w:val="1003"/>
        </w:numPr>
        <w:pStyle w:val="Compact"/>
      </w:pPr>
      <w:r>
        <w:rPr>
          <w:bCs/>
          <w:b/>
        </w:rPr>
        <w:t xml:space="preserve">For National Development:</w:t>
      </w:r>
      <w:r>
        <w:t xml:space="preserve"> </w:t>
      </w:r>
      <w:r>
        <w:t xml:space="preserve">The proposal includes policy briefs for Uganda's Ministry of Arts, Culture and Tourism to integrate creative industries into national economic strategies—aligning with Uganda Vision 2040's innovation goals.</w:t>
      </w:r>
    </w:p>
    <w:p>
      <w:pPr>
        <w:numPr>
          <w:ilvl w:val="0"/>
          <w:numId w:val="1003"/>
        </w:numPr>
        <w:pStyle w:val="Compact"/>
      </w:pPr>
      <w:r>
        <w:rPr>
          <w:bCs/>
          <w:b/>
        </w:rPr>
        <w:t xml:space="preserve">For Global Knowledge:</w:t>
      </w:r>
      <w:r>
        <w:t xml:space="preserve"> </w:t>
      </w:r>
      <w:r>
        <w:t xml:space="preserve">Insights on how designers navigate resource constraints (e.g., unreliable electricity, limited Adobe licenses) will benefit creative professionals across the Global South.</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Tool Development</w:t>
            </w:r>
          </w:p>
        </w:tc>
        <w:tc>
          <w:tcPr/>
          <w:p>
            <w:pPr>
              <w:pStyle w:val="Compact"/>
              <w:jc w:val="left"/>
            </w:pPr>
            <w:r>
              <w:t xml:space="preserve">Month 1-2</w:t>
            </w:r>
          </w:p>
        </w:tc>
        <w:tc>
          <w:tcPr/>
          <w:p>
            <w:pPr>
              <w:pStyle w:val="Compact"/>
              <w:jc w:val="left"/>
            </w:pPr>
            <w:r>
              <w:t xml:space="preserve">Finalize research instruments; secure ethics approval</w:t>
            </w:r>
          </w:p>
        </w:tc>
      </w:tr>
      <w:tr>
        <w:tc>
          <w:tcPr/>
          <w:p>
            <w:pPr>
              <w:pStyle w:val="Compact"/>
              <w:jc w:val="left"/>
            </w:pPr>
            <w:r>
              <w:t xml:space="preserve">Data Collection (Interviews/Surveys)</w:t>
            </w:r>
          </w:p>
        </w:tc>
        <w:tc>
          <w:tcPr/>
          <w:p>
            <w:pPr>
              <w:pStyle w:val="Compact"/>
              <w:jc w:val="left"/>
            </w:pPr>
            <w:r>
              <w:t xml:space="preserve">Month 3-5</w:t>
            </w:r>
          </w:p>
        </w:tc>
        <w:tc>
          <w:tcPr/>
          <w:p>
            <w:pPr>
              <w:pStyle w:val="Compact"/>
              <w:jc w:val="left"/>
            </w:pPr>
            <w:r>
              <w:t xml:space="preserve">Conduct fieldwork in Kampala; initial code analysis</w:t>
            </w:r>
          </w:p>
        </w:tc>
      </w:tr>
      <w:tr>
        <w:tc>
          <w:tcPr/>
          <w:p>
            <w:pPr>
              <w:pStyle w:val="Compact"/>
              <w:jc w:val="left"/>
            </w:pPr>
            <w:r>
              <w:t xml:space="preserve">Data Analysis &amp; Case Study Development</w:t>
            </w:r>
          </w:p>
        </w:tc>
        <w:tc>
          <w:tcPr/>
          <w:p>
            <w:pPr>
              <w:pStyle w:val="Compact"/>
              <w:jc w:val="left"/>
            </w:pPr>
            <w:r>
              <w:t xml:space="preserve">Month 6-7</w:t>
            </w:r>
          </w:p>
        </w:tc>
        <w:tc>
          <w:tcPr/>
          <w:p>
            <w:pPr>
              <w:pStyle w:val="Compact"/>
              <w:jc w:val="left"/>
            </w:pPr>
            <w:r>
              <w:t xml:space="preserve">Thematic coding; cultural case study writing</w:t>
            </w:r>
          </w:p>
        </w:tc>
      </w:tr>
      <w:tr>
        <w:tc>
          <w:tcPr/>
          <w:p>
            <w:pPr>
              <w:pStyle w:val="Compact"/>
              <w:jc w:val="left"/>
            </w:pPr>
            <w:r>
              <w:t xml:space="preserve">Drafting Thesis &amp; Policy Recommendations</w:t>
            </w:r>
          </w:p>
        </w:tc>
        <w:tc>
          <w:tcPr/>
          <w:p>
            <w:pPr>
              <w:pStyle w:val="Compact"/>
              <w:jc w:val="left"/>
            </w:pPr>
            <w:r>
              <w:t xml:space="preserve">Month 8-9</w:t>
            </w:r>
          </w:p>
        </w:tc>
        <w:tc>
          <w:tcPr/>
          <w:p>
            <w:pPr>
              <w:pStyle w:val="Compact"/>
              <w:jc w:val="left"/>
            </w:pPr>
            <w:r>
              <w:t xml:space="preserve">Write full thesis; develop stakeholder briefings for DAU and Ministry of Arts</w:t>
            </w:r>
          </w:p>
        </w:tc>
      </w:tr>
    </w:tbl>
    <w:bookmarkEnd w:id="26"/>
    <w:bookmarkStart w:id="27" w:name="conclusion"/>
    <w:p>
      <w:pPr>
        <w:pStyle w:val="Heading2"/>
      </w:pPr>
      <w:r>
        <w:t xml:space="preserve">8. Conclusion</w:t>
      </w:r>
    </w:p>
    <w:p>
      <w:pPr>
        <w:pStyle w:val="FirstParagraph"/>
      </w:pPr>
      <w:r>
        <w:t xml:space="preserve">The professional trajectory of Graphic Designers in Uganda Kampala is pivotal to the nation's cultural and economic future. As digital platforms become essential for Ugandan businesses—from kiosks in Makindye to corporate headquarters in New Vision Towers—Graphic Designers serve as the visual translators between tradition and modernity. This</w:t>
      </w:r>
      <w:r>
        <w:t xml:space="preserve"> </w:t>
      </w:r>
      <w:r>
        <w:rPr>
          <w:iCs/>
          <w:i/>
        </w:rPr>
        <w:t xml:space="preserve">Thesis Proposal</w:t>
      </w:r>
      <w:r>
        <w:t xml:space="preserve"> </w:t>
      </w:r>
      <w:r>
        <w:t xml:space="preserve">outlines a rigorous investigation into their daily realities, moving beyond anecdotal observations to deliver actionable insights. By centering Kampala as our laboratory, we recognize that the challenges and innovations emerging from Uganda's creative capital hold universal relevance for designers in resource-constrained environments worldwide. The culmination of this research will not merely be an academic document but a practical roadmap to elevate Graphic Designers across Uganda Kampala from mere service providers to recognized cultural architects shaping the nation's visual identity.</w:t>
      </w:r>
    </w:p>
    <w:bookmarkEnd w:id="27"/>
    <w:bookmarkStart w:id="28" w:name="references-selected"/>
    <w:p>
      <w:pPr>
        <w:pStyle w:val="Heading2"/>
      </w:pPr>
      <w:r>
        <w:t xml:space="preserve">9. References (Selected)</w:t>
      </w:r>
    </w:p>
    <w:p>
      <w:pPr>
        <w:numPr>
          <w:ilvl w:val="0"/>
          <w:numId w:val="1004"/>
        </w:numPr>
        <w:pStyle w:val="Compact"/>
      </w:pPr>
      <w:r>
        <w:t xml:space="preserve">Kampala Branding Council. (2023). *Uganda Visual Identity Survey*. Kampala: KBC Publications.</w:t>
      </w:r>
    </w:p>
    <w:p>
      <w:pPr>
        <w:numPr>
          <w:ilvl w:val="0"/>
          <w:numId w:val="1004"/>
        </w:numPr>
        <w:pStyle w:val="Compact"/>
      </w:pPr>
      <w:r>
        <w:t xml:space="preserve">Olowu, T. (2018). 'Designing Africa: Postcolonial Aesthetics in the Creative Economy'. *Journal of African Design*, 7(2), 44-61.</w:t>
      </w:r>
    </w:p>
    <w:p>
      <w:pPr>
        <w:numPr>
          <w:ilvl w:val="0"/>
          <w:numId w:val="1004"/>
        </w:numPr>
        <w:pStyle w:val="Compact"/>
      </w:pPr>
      <w:r>
        <w:t xml:space="preserve">Uganda Bureau of Statistics. (2023). *Creative Industries Annual Report*. Kampala: UBOS.</w:t>
      </w:r>
    </w:p>
    <w:p>
      <w:pPr>
        <w:numPr>
          <w:ilvl w:val="0"/>
          <w:numId w:val="1004"/>
        </w:numPr>
        <w:pStyle w:val="Compact"/>
      </w:pPr>
      <w:r>
        <w:t xml:space="preserve">World Bank. (2023). *Digital Economy in Uganda: Growth and Inclusion*. Washington, DC: World Bank Group.</w:t>
      </w:r>
    </w:p>
    <w:p>
      <w:pPr>
        <w:pStyle w:val="FirstParagraph"/>
      </w:pPr>
      <w:r>
        <w:rPr>
          <w:iCs/>
          <w:i/>
        </w:rPr>
        <w:t xml:space="preserve">This Thesis Proposal constitutes a foundational study for advancing the graphic design profession in Uganda Kampala, with implications extending to global creative economies navigating similar developmental contexts.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Professional Landscape of Graphic Designers in Kampala, Uganda</dc:title>
  <dc:creator/>
  <dc:language>en</dc:language>
  <cp:keywords/>
  <dcterms:created xsi:type="dcterms:W3CDTF">2026-05-30T21:43:04Z</dcterms:created>
  <dcterms:modified xsi:type="dcterms:W3CDTF">2026-05-30T21:43:04Z</dcterms:modified>
</cp:coreProperties>
</file>

<file path=docProps/custom.xml><?xml version="1.0" encoding="utf-8"?>
<Properties xmlns="http://schemas.openxmlformats.org/officeDocument/2006/custom-properties" xmlns:vt="http://schemas.openxmlformats.org/officeDocument/2006/docPropsVTypes"/>
</file>