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4e7c6d2230ec0d7067714f1c263484e52134122"/>
    <w:p>
      <w:pPr>
        <w:pStyle w:val="Heading1"/>
      </w:pPr>
      <w:r>
        <w:t xml:space="preserve">Thesis Proposal: The Evolving Role of the Graphic Designer in United Kingdom Birmingham</w:t>
      </w:r>
    </w:p>
    <w:bookmarkStart w:id="20" w:name="introduction"/>
    <w:p>
      <w:pPr>
        <w:pStyle w:val="Heading2"/>
      </w:pPr>
      <w:r>
        <w:t xml:space="preserve">Introduction</w:t>
      </w:r>
    </w:p>
    <w:p>
      <w:pPr>
        <w:pStyle w:val="FirstParagraph"/>
      </w:pPr>
      <w:r>
        <w:t xml:space="preserve">This Thesis Proposal examines the pivotal role of the contemporary</w:t>
      </w:r>
      <w:r>
        <w:t xml:space="preserve"> </w:t>
      </w:r>
      <w:r>
        <w:rPr>
          <w:bCs/>
          <w:b/>
        </w:rPr>
        <w:t xml:space="preserve">Graphic Designer</w:t>
      </w:r>
      <w:r>
        <w:t xml:space="preserve"> </w:t>
      </w:r>
      <w:r>
        <w:t xml:space="preserve">within the dynamic cultural and economic landscape of United Kingdom Birmingham. As one of Europe's fastest-growing cities undergoing unprecedented regeneration, Birmingham presents a unique laboratory for studying how visual communication shapes urban identity. This research addresses a critical gap in design scholarship by focusing specifically on how local</w:t>
      </w:r>
      <w:r>
        <w:t xml:space="preserve"> </w:t>
      </w:r>
      <w:r>
        <w:rPr>
          <w:bCs/>
          <w:b/>
        </w:rPr>
        <w:t xml:space="preserve">Graphic Designer</w:t>
      </w:r>
      <w:r>
        <w:t xml:space="preserve"> </w:t>
      </w:r>
      <w:r>
        <w:t xml:space="preserve">practices intersect with community engagement, inclusive branding, and post-industrial city transformation. With Birmingham's population exceeding 1.2 million and its status as the UK's second-largest city outside London, this study directly responds to the urgent need for contextually grounded design research in a major metropolitan hub of</w:t>
      </w:r>
      <w:r>
        <w:t xml:space="preserve"> </w:t>
      </w:r>
      <w:r>
        <w:rPr>
          <w:bCs/>
          <w:b/>
        </w:rPr>
        <w:t xml:space="preserve">United Kingdom Birmingham</w:t>
      </w:r>
      <w:r>
        <w:t xml:space="preserve">. The proposed research will establish how graphic design functions not merely as an aesthetic service but as a strategic catalyst for social cohesion and economic vitality within this diverse urban environment.</w:t>
      </w:r>
    </w:p>
    <w:bookmarkEnd w:id="20"/>
    <w:bookmarkStart w:id="21" w:name="literature-review-research-gap"/>
    <w:p>
      <w:pPr>
        <w:pStyle w:val="Heading2"/>
      </w:pPr>
      <w:r>
        <w:t xml:space="preserve">Literature Review &amp; Research Gap</w:t>
      </w:r>
    </w:p>
    <w:p>
      <w:pPr>
        <w:pStyle w:val="FirstParagraph"/>
      </w:pPr>
      <w:r>
        <w:t xml:space="preserve">Existing literature on urban branding (Lindsey, 2018) and design-led regeneration (Bolton, 2020) predominantly focuses on global metropolises like London or Berlin, overlooking Midlands' distinctive socio-economic context. Recent studies by the Birmingham City Council's Creative Industries Report (2023) acknowledge design's contribution to the city's £5.8bn creative sector but lack granular analysis of</w:t>
      </w:r>
      <w:r>
        <w:t xml:space="preserve"> </w:t>
      </w:r>
      <w:r>
        <w:rPr>
          <w:bCs/>
          <w:b/>
        </w:rPr>
        <w:t xml:space="preserve">Graphic Designer</w:t>
      </w:r>
      <w:r>
        <w:t xml:space="preserve"> </w:t>
      </w:r>
      <w:r>
        <w:t xml:space="preserve">workflows within community-driven projects. Crucially, no academic work has examined how Birmingham's specific challenges—such as post-industrial legacy, ethnic diversity (47% BAME population), and regeneration zones like Eastside and Digbeth—shape design practice. This Thesis Proposal fills that void by centering</w:t>
      </w:r>
      <w:r>
        <w:t xml:space="preserve"> </w:t>
      </w:r>
      <w:r>
        <w:rPr>
          <w:bCs/>
          <w:b/>
        </w:rPr>
        <w:t xml:space="preserve">United Kingdom Birmingham</w:t>
      </w:r>
      <w:r>
        <w:t xml:space="preserve"> </w:t>
      </w:r>
      <w:r>
        <w:t xml:space="preserve">as the primary case study, moving beyond generic urban design frameworks to interrogate localized design agency.</w:t>
      </w:r>
    </w:p>
    <w:bookmarkEnd w:id="21"/>
    <w:bookmarkStart w:id="22" w:name="research-questions"/>
    <w:p>
      <w:pPr>
        <w:pStyle w:val="Heading2"/>
      </w:pPr>
      <w:r>
        <w:t xml:space="preserve">Research Questions</w:t>
      </w:r>
    </w:p>
    <w:p>
      <w:pPr>
        <w:numPr>
          <w:ilvl w:val="0"/>
          <w:numId w:val="1001"/>
        </w:numPr>
        <w:pStyle w:val="Compact"/>
      </w:pPr>
      <w:r>
        <w:t xml:space="preserve">How do Graphic Designers in Birmingham navigate tensions between commercial client demands and community-led visual narratives during city-wide regeneration initiatives?</w:t>
      </w:r>
    </w:p>
    <w:p>
      <w:pPr>
        <w:numPr>
          <w:ilvl w:val="0"/>
          <w:numId w:val="1001"/>
        </w:numPr>
        <w:pStyle w:val="Compact"/>
      </w:pPr>
      <w:r>
        <w:t xml:space="preserve">To what extent does the practice of a Graphic Designer in Birmingham actively contribute to inclusive urban identity formation across culturally diverse neighbourhoods?</w:t>
      </w:r>
    </w:p>
    <w:p>
      <w:pPr>
        <w:numPr>
          <w:ilvl w:val="0"/>
          <w:numId w:val="1001"/>
        </w:numPr>
        <w:pStyle w:val="Compact"/>
      </w:pPr>
      <w:r>
        <w:t xml:space="preserve">What systemic barriers exist for emerging</w:t>
      </w:r>
      <w:r>
        <w:t xml:space="preserve"> </w:t>
      </w:r>
      <w:r>
        <w:rPr>
          <w:bCs/>
          <w:b/>
        </w:rPr>
        <w:t xml:space="preserve">Graphic Designer</w:t>
      </w:r>
      <w:r>
        <w:t xml:space="preserve">s in Birmingham's creative ecosystem, and how might these be reimagined through institutional collaboration?</w:t>
      </w:r>
    </w:p>
    <w:bookmarkEnd w:id="22"/>
    <w:bookmarkStart w:id="23"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Case Studies (Months 3-6):</w:t>
      </w:r>
      <w:r>
        <w:t xml:space="preserve"> </w:t>
      </w:r>
      <w:r>
        <w:t xml:space="preserve">Analysis of 5 landmark Birmingham projects where Graphic Design directly influenced community identity (e.g., Birmingham City Council’s "Birmingham Loves Art" campaign, Digbeth's Street Art Trail branding, and the Commonwealth Games 2022 legacy visual system).</w:t>
      </w:r>
    </w:p>
    <w:p>
      <w:pPr>
        <w:numPr>
          <w:ilvl w:val="0"/>
          <w:numId w:val="1002"/>
        </w:numPr>
        <w:pStyle w:val="Compact"/>
      </w:pPr>
      <w:r>
        <w:rPr>
          <w:bCs/>
          <w:b/>
        </w:rPr>
        <w:t xml:space="preserve">Design Practitioner Interviews (Months 4-7):</w:t>
      </w:r>
      <w:r>
        <w:t xml:space="preserve"> </w:t>
      </w:r>
      <w:r>
        <w:t xml:space="preserve">In-depth semi-structured interviews with 15+ local Graphic Designers across scales—freelancers, agency owners, and in-house design leads at institutions like Birmingham Museums Trust and University of Birmingham.</w:t>
      </w:r>
    </w:p>
    <w:p>
      <w:pPr>
        <w:numPr>
          <w:ilvl w:val="0"/>
          <w:numId w:val="1002"/>
        </w:numPr>
        <w:pStyle w:val="Compact"/>
      </w:pPr>
      <w:r>
        <w:rPr>
          <w:bCs/>
          <w:b/>
        </w:rPr>
        <w:t xml:space="preserve">Community Co-Creation Workshop (Months 8-9):</w:t>
      </w:r>
      <w:r>
        <w:t xml:space="preserve"> </w:t>
      </w:r>
      <w:r>
        <w:t xml:space="preserve">Facilitated sessions with residents from diverse wards (Handsworth, Small Heath, Moseley) to evaluate how current visual identity projects resonate with lived experiences in</w:t>
      </w:r>
      <w:r>
        <w:t xml:space="preserve"> </w:t>
      </w:r>
      <w:r>
        <w:rPr>
          <w:bCs/>
          <w:b/>
        </w:rPr>
        <w:t xml:space="preserve">United Kingdom Birmingham</w:t>
      </w:r>
      <w:r>
        <w:t xml:space="preserve">.</w:t>
      </w:r>
    </w:p>
    <w:p>
      <w:pPr>
        <w:pStyle w:val="FirstParagraph"/>
      </w:pPr>
      <w:r>
        <w:t xml:space="preserve">Data triangulation will ensure robust insights into how design decisions translate from studio to street-level impact. Ethical considerations include participatory consent frameworks developed with Birmingham's Design Forum, ensuring community voices shape the research output.</w:t>
      </w:r>
    </w:p>
    <w:bookmarkEnd w:id="23"/>
    <w:bookmarkStart w:id="26" w:name="expected-contributions"/>
    <w:p>
      <w:pPr>
        <w:pStyle w:val="Heading2"/>
      </w:pPr>
      <w:r>
        <w:t xml:space="preserve">Expected Contributions</w:t>
      </w:r>
    </w:p>
    <w:bookmarkStart w:id="24" w:name="theoretical-impact"/>
    <w:p>
      <w:pPr>
        <w:pStyle w:val="Heading3"/>
      </w:pPr>
      <w:r>
        <w:t xml:space="preserve">Theoretical Impact</w:t>
      </w:r>
    </w:p>
    <w:p>
      <w:pPr>
        <w:pStyle w:val="FirstParagraph"/>
      </w:pPr>
      <w:r>
        <w:t xml:space="preserve">This Thesis Proposal advances design theory by challenging the "designer-as-savior" narrative through a Birmingham-specific lens. It proposes a new framework—"Contextual Urban Design Practice"—that positions the Graphic Designer as an embedded community participant rather than external consultant. This directly responds to critical gaps identified in recent journals like</w:t>
      </w:r>
      <w:r>
        <w:t xml:space="preserve"> </w:t>
      </w:r>
      <w:r>
        <w:rPr>
          <w:iCs/>
          <w:i/>
        </w:rPr>
        <w:t xml:space="preserve">Design Issues</w:t>
      </w:r>
      <w:r>
        <w:t xml:space="preserve"> </w:t>
      </w:r>
      <w:r>
        <w:t xml:space="preserve">(2022), which called for more place-based design research in post-industrial cities.</w:t>
      </w:r>
    </w:p>
    <w:bookmarkEnd w:id="24"/>
    <w:bookmarkStart w:id="25" w:name="practical-impact"/>
    <w:p>
      <w:pPr>
        <w:pStyle w:val="Heading3"/>
      </w:pPr>
      <w:r>
        <w:t xml:space="preserve">Practical Impact</w:t>
      </w:r>
    </w:p>
    <w:p>
      <w:pPr>
        <w:pStyle w:val="FirstParagraph"/>
      </w:pPr>
      <w:r>
        <w:t xml:space="preserve">The findings will generate actionable tools for Birmingham's creative economy, including:</w:t>
      </w:r>
    </w:p>
    <w:p>
      <w:pPr>
        <w:numPr>
          <w:ilvl w:val="0"/>
          <w:numId w:val="1003"/>
        </w:numPr>
        <w:pStyle w:val="Compact"/>
      </w:pPr>
      <w:r>
        <w:t xml:space="preserve">A "Birmingham Inclusive Design Checklist" for agencies working on public projects</w:t>
      </w:r>
    </w:p>
    <w:p>
      <w:pPr>
        <w:numPr>
          <w:ilvl w:val="0"/>
          <w:numId w:val="1003"/>
        </w:numPr>
        <w:pStyle w:val="Compact"/>
      </w:pPr>
      <w:r>
        <w:t xml:space="preserve">Curriculum recommendations for Birmingham City University and UWE Bristol's design programs to better prepare Graphic Designer graduates for UK urban contexts</w:t>
      </w:r>
    </w:p>
    <w:p>
      <w:pPr>
        <w:numPr>
          <w:ilvl w:val="0"/>
          <w:numId w:val="1003"/>
        </w:numPr>
        <w:pStyle w:val="Compact"/>
      </w:pPr>
      <w:r>
        <w:t xml:space="preserve">Policy briefings for Birmingham City Council’s Creative Strategy 2030, specifically targeting the £1.5m allocated annually to design-led regeneration</w:t>
      </w:r>
    </w:p>
    <w:bookmarkEnd w:id="25"/>
    <w:bookmarkEnd w:id="26"/>
    <w:bookmarkStart w:id="27" w:name="Xb067b06eff6340ea2b80007d6a128d28ad19846"/>
    <w:p>
      <w:pPr>
        <w:pStyle w:val="Heading2"/>
      </w:pPr>
      <w:r>
        <w:t xml:space="preserve">Significance for United Kingdom Birmingham</w:t>
      </w:r>
    </w:p>
    <w:p>
      <w:pPr>
        <w:pStyle w:val="FirstParagraph"/>
      </w:pPr>
      <w:r>
        <w:t xml:space="preserve">Birmingham's recent designation as a UK City of Culture (2022) and its ongoing £8bn regeneration programme make this research exceptionally timely. The work will directly support the city’s ambition to become "a global design destination" while addressing persistent issues like the 37% gap in creative sector employment between white and ethnic minority graduates (Creative Industries Federation, 2023). By centering local voices, this Thesis Proposal counters top-down urban development models that have historically marginalized communities in</w:t>
      </w:r>
      <w:r>
        <w:t xml:space="preserve"> </w:t>
      </w:r>
      <w:r>
        <w:rPr>
          <w:bCs/>
          <w:b/>
        </w:rPr>
        <w:t xml:space="preserve">United Kingdom Birmingham</w:t>
      </w:r>
      <w:r>
        <w:t xml:space="preserve">. It positions the Graphic Designer not as a passive vendor of logos but as a vital agent for equitable place-making.</w:t>
      </w:r>
    </w:p>
    <w:bookmarkEnd w:id="27"/>
    <w:bookmarkStart w:id="28" w:name="tentative-timeline"/>
    <w:p>
      <w:pPr>
        <w:pStyle w:val="Heading2"/>
      </w:pPr>
      <w:r>
        <w:t xml:space="preserve">Tentative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Development</w:t>
            </w:r>
          </w:p>
        </w:tc>
        <w:tc>
          <w:tcPr/>
          <w:p>
            <w:pPr>
              <w:pStyle w:val="Compact"/>
              <w:jc w:val="left"/>
            </w:pPr>
            <w:r>
              <w:t xml:space="preserve">1-2</w:t>
            </w:r>
          </w:p>
        </w:tc>
        <w:tc>
          <w:tcPr/>
          <w:p>
            <w:pPr>
              <w:pStyle w:val="Compact"/>
              <w:jc w:val="left"/>
            </w:pPr>
            <w:r>
              <w:t xml:space="preserve">Refined research questions; Contextual Urban Design Practice model draft</w:t>
            </w:r>
          </w:p>
        </w:tc>
      </w:tr>
      <w:tr>
        <w:tc>
          <w:tcPr/>
          <w:p>
            <w:pPr>
              <w:pStyle w:val="Compact"/>
              <w:jc w:val="left"/>
            </w:pPr>
            <w:r>
              <w:t xml:space="preserve">Primary Data Collection (Interviews/Case Studies)</w:t>
            </w:r>
          </w:p>
        </w:tc>
        <w:tc>
          <w:tcPr/>
          <w:p>
            <w:pPr>
              <w:pStyle w:val="Compact"/>
              <w:jc w:val="left"/>
            </w:pPr>
            <w:r>
              <w:t xml:space="preserve">3-6</w:t>
            </w:r>
          </w:p>
        </w:tc>
        <w:tc>
          <w:tcPr/>
          <w:p>
            <w:pPr>
              <w:pStyle w:val="Compact"/>
              <w:jc w:val="left"/>
            </w:pPr>
            <w:r>
              <w:t xml:space="preserve">Transcribed interviews; Project analysis reports</w:t>
            </w:r>
          </w:p>
        </w:tc>
      </w:tr>
      <w:tr>
        <w:tc>
          <w:tcPr/>
          <w:p>
            <w:pPr>
              <w:pStyle w:val="Compact"/>
              <w:jc w:val="left"/>
            </w:pPr>
            <w:r>
              <w:t xml:space="preserve">Community Workshop &amp; Data Synthesis</w:t>
            </w:r>
          </w:p>
        </w:tc>
        <w:tc>
          <w:tcPr/>
          <w:p>
            <w:pPr>
              <w:pStyle w:val="Compact"/>
              <w:jc w:val="left"/>
            </w:pPr>
            <w:r>
              <w:t xml:space="preserve">7-9</w:t>
            </w:r>
          </w:p>
        </w:tc>
        <w:tc>
          <w:tcPr/>
          <w:p>
            <w:pPr>
              <w:pStyle w:val="Compact"/>
              <w:jc w:val="left"/>
            </w:pPr>
            <w:r>
              <w:t xml:space="preserve">Cross-referenced findings; Inclusive Design Checklist draft</w:t>
            </w:r>
          </w:p>
        </w:tc>
      </w:tr>
      <w:tr>
        <w:tc>
          <w:tcPr/>
          <w:p>
            <w:pPr>
              <w:pStyle w:val="Compact"/>
              <w:jc w:val="left"/>
            </w:pPr>
            <w:r>
              <w:t xml:space="preserve">Thesis Writing &amp; Policy Translation</w:t>
            </w:r>
          </w:p>
        </w:tc>
        <w:tc>
          <w:tcPr/>
          <w:p>
            <w:pPr>
              <w:pStyle w:val="Compact"/>
              <w:jc w:val="left"/>
            </w:pPr>
            <w:r>
              <w:t xml:space="preserve">10-12</w:t>
            </w:r>
          </w:p>
        </w:tc>
        <w:tc>
          <w:tcPr/>
          <w:p>
            <w:pPr>
              <w:pStyle w:val="Compact"/>
              <w:jc w:val="left"/>
            </w:pPr>
            <w:r>
              <w:t xml:space="preserve">Draft thesis; Birmingham City Council policy briefs</w:t>
            </w:r>
          </w:p>
        </w:tc>
      </w:tr>
    </w:tbl>
    <w:bookmarkEnd w:id="28"/>
    <w:bookmarkStart w:id="29" w:name="Xaa36dce006e9a6ae8ce86f2abf841cab36f22a1"/>
    <w:p>
      <w:pPr>
        <w:pStyle w:val="Heading2"/>
      </w:pPr>
      <w:r>
        <w:t xml:space="preserve">Conclusion: Why This Thesis Proposal Matters Now</w:t>
      </w:r>
    </w:p>
    <w:p>
      <w:pPr>
        <w:pStyle w:val="FirstParagraph"/>
      </w:pPr>
      <w:r>
        <w:t xml:space="preserve">As Birmingham accelerates its transformation from "workshop of the world" to a 21st-century creative capital, the strategic role of the Graphic Designer demands academic scrutiny beyond commercial case studies. This Thesis Proposal asserts that effective visual communication is inseparable from Birmingham's social fabric—where a well-designed bus shelter sign can foster neighbourhood pride as much as a public artwork. By grounding research in</w:t>
      </w:r>
      <w:r>
        <w:t xml:space="preserve"> </w:t>
      </w:r>
      <w:r>
        <w:rPr>
          <w:bCs/>
          <w:b/>
        </w:rPr>
        <w:t xml:space="preserve">United Kingdom Birmingham</w:t>
      </w:r>
      <w:r>
        <w:t xml:space="preserve">'s specific realities, this study will empower Graphic Designers to become more responsive agents of change. The outcomes promise not just theoretical enrichment but immediate value for local practitioners, policymakers, and communities striving for a more inclusive urban future. In an era where cities compete on identity as much as infrastructure, this research positions Birmingham's Graphic Designer at the vanguard of place-making innovation—a role increasingly vital to the city's global standing.</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Kingdom Birmingham</dc:title>
  <dc:creator/>
  <dc:language>en</dc:language>
  <cp:keywords/>
  <dcterms:created xsi:type="dcterms:W3CDTF">2026-07-21T02:35:49Z</dcterms:created>
  <dcterms:modified xsi:type="dcterms:W3CDTF">2026-07-21T02:35:49Z</dcterms:modified>
</cp:coreProperties>
</file>

<file path=docProps/custom.xml><?xml version="1.0" encoding="utf-8"?>
<Properties xmlns="http://schemas.openxmlformats.org/officeDocument/2006/custom-properties" xmlns:vt="http://schemas.openxmlformats.org/officeDocument/2006/docPropsVTypes"/>
</file>