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Graphic</w:t>
      </w:r>
      <w:r>
        <w:t xml:space="preserve"> </w:t>
      </w:r>
      <w:r>
        <w:t xml:space="preserve">Designer</w:t>
      </w:r>
      <w:r>
        <w:t xml:space="preserve"> </w:t>
      </w:r>
      <w:r>
        <w:t xml:space="preserve">in</w:t>
      </w:r>
      <w:r>
        <w:t xml:space="preserve"> </w:t>
      </w:r>
      <w:r>
        <w:t xml:space="preserve">United</w:t>
      </w:r>
      <w:r>
        <w:t xml:space="preserve"> </w:t>
      </w:r>
      <w:r>
        <w:t xml:space="preserve">States</w:t>
      </w:r>
      <w:r>
        <w:t xml:space="preserve"> </w:t>
      </w:r>
      <w:r>
        <w:t xml:space="preserve">Chicago</w:t>
      </w:r>
    </w:p>
    <w:bookmarkStart w:id="28" w:name="X1c3821e67a6001e110040e18cd8a4a229098cd9"/>
    <w:p>
      <w:pPr>
        <w:pStyle w:val="Heading1"/>
      </w:pPr>
      <w:r>
        <w:t xml:space="preserve">Thesis Proposal: Navigating Identity, Innovation, and Community in the Graphic Design Profession within United States Chicago</w:t>
      </w:r>
    </w:p>
    <w:bookmarkStart w:id="20" w:name="introduction-and-contextual-framework"/>
    <w:p>
      <w:pPr>
        <w:pStyle w:val="Heading2"/>
      </w:pPr>
      <w:r>
        <w:t xml:space="preserve">Introduction and Contextual Framework</w:t>
      </w:r>
    </w:p>
    <w:p>
      <w:pPr>
        <w:pStyle w:val="FirstParagraph"/>
      </w:pPr>
      <w:r>
        <w:t xml:space="preserve">The city of Chicago, Illinois, stands as a vibrant cultural crucible within the United States where design intersects with history, diversity, and urban transformation. As a global hub for business, art, and community engagement, Chicago presents unique challenges and opportunities for the modern</w:t>
      </w:r>
      <w:r>
        <w:t xml:space="preserve"> </w:t>
      </w:r>
      <w:r>
        <w:rPr>
          <w:bCs/>
          <w:b/>
        </w:rPr>
        <w:t xml:space="preserve">Graphic Designer</w:t>
      </w:r>
      <w:r>
        <w:t xml:space="preserve">. This thesis proposal examines how contemporary</w:t>
      </w:r>
      <w:r>
        <w:t xml:space="preserve"> </w:t>
      </w:r>
      <w:r>
        <w:rPr>
          <w:iCs/>
          <w:i/>
        </w:rPr>
        <w:t xml:space="preserve">Graphic Designer</w:t>
      </w:r>
      <w:r>
        <w:t xml:space="preserve"> </w:t>
      </w:r>
      <w:r>
        <w:t xml:space="preserve">professionals navigate evolving market demands while serving Chicago's multifaceted communities within the broader context of the United States. With over 12,000 creative businesses operating in Cook County alone (Chicago Department of Cultural Affairs, 2023), understanding this profession's adaptation strategies is critical for both academic discourse and industry practice. This research addresses a significant gap: while national studies exist on graphic design trends, few analyze the hyper-localized dynamics of Chicago's creative ecosystem, where neighborhood identity, economic disparities, and cultural heritage directly shape design outcomes.</w:t>
      </w:r>
    </w:p>
    <w:bookmarkEnd w:id="20"/>
    <w:bookmarkStart w:id="21" w:name="problem-statement"/>
    <w:p>
      <w:pPr>
        <w:pStyle w:val="Heading2"/>
      </w:pPr>
      <w:r>
        <w:t xml:space="preserve">Problem Statement</w:t>
      </w:r>
    </w:p>
    <w:p>
      <w:pPr>
        <w:pStyle w:val="FirstParagraph"/>
      </w:pPr>
      <w:r>
        <w:t xml:space="preserve">Chicago's graphic design landscape faces unprecedented pressures. The rise of AI-driven design tools threatens traditional workflows, while clients increasingly demand culturally resonant work that authentically represents Chicago's 77 distinct neighborhoods. Simultaneously, the city experiences stark economic divides—while downtown firms thrive with corporate budgets, community organizations in underserved areas struggle to afford professional design services. This creates a paradox:</w:t>
      </w:r>
      <w:r>
        <w:t xml:space="preserve"> </w:t>
      </w:r>
      <w:r>
        <w:rPr>
          <w:iCs/>
          <w:i/>
        </w:rPr>
        <w:t xml:space="preserve">Graphic Designer</w:t>
      </w:r>
      <w:r>
        <w:t xml:space="preserve"> </w:t>
      </w:r>
      <w:r>
        <w:t xml:space="preserve">professionals are expected to innovate rapidly while maintaining ethical community engagement. Current industry frameworks often overlook how these pressures uniquely manifest in United States Chicago, where design must simultaneously honor the city's architectural legacy (e.g., Art Deco, modernist skyscrapers) and serve its 27% foreign-born population speaking 150+ languages. This thesis directly confronts this disconnect by positioning the</w:t>
      </w:r>
      <w:r>
        <w:t xml:space="preserve"> </w:t>
      </w:r>
      <w:r>
        <w:rPr>
          <w:iCs/>
          <w:i/>
        </w:rPr>
        <w:t xml:space="preserve">Graphic Designer</w:t>
      </w:r>
      <w:r>
        <w:t xml:space="preserve"> </w:t>
      </w:r>
      <w:r>
        <w:t xml:space="preserve">as both cultural interpreter and strategic innovator within Chicago's specific socio-economic framework.</w:t>
      </w:r>
    </w:p>
    <w:bookmarkEnd w:id="21"/>
    <w:bookmarkStart w:id="22" w:name="Xaa5663fc18c5c808ff1dae5770141aeef2d0ae2"/>
    <w:p>
      <w:pPr>
        <w:pStyle w:val="Heading2"/>
      </w:pPr>
      <w:r>
        <w:t xml:space="preserve">Literature Review (Synthesis of Relevant Scholarship)</w:t>
      </w:r>
    </w:p>
    <w:p>
      <w:pPr>
        <w:pStyle w:val="FirstParagraph"/>
      </w:pPr>
      <w:r>
        <w:t xml:space="preserve">Existing scholarship on graphic design emphasizes digital transformation (Berman, 2021) and global design trends (Lupton, 2019), but neglects localized urban contexts. Studies by the American Institute of Graphic Arts (AIGA) acknowledge Chicago's historical significance as a design center since the Bauhaus era but fail to analyze contemporary adaptation strategies. Research on "place-based design" (Kohn &amp; Hays, 2020) offers theoretical value yet remains underapplied in Chicago-specific scenarios. Crucially, no major academic work examines how</w:t>
      </w:r>
      <w:r>
        <w:t xml:space="preserve"> </w:t>
      </w:r>
      <w:r>
        <w:rPr>
          <w:iCs/>
          <w:i/>
        </w:rPr>
        <w:t xml:space="preserve">Graphic Designer</w:t>
      </w:r>
      <w:r>
        <w:t xml:space="preserve"> </w:t>
      </w:r>
      <w:r>
        <w:t xml:space="preserve">professionals navigate the tension between commercial viability (serving Fortune 500 clients in the Loop) and social impact (supporting Black-led businesses on the South Side). This thesis bridges these gaps by contextualizing design practice within Chicago's unique demographic and economic topography—the second-largest city in the United States with one of its most complex community structures.</w:t>
      </w:r>
    </w:p>
    <w:bookmarkEnd w:id="22"/>
    <w:bookmarkStart w:id="23" w:name="research-methodology"/>
    <w:p>
      <w:pPr>
        <w:pStyle w:val="Heading2"/>
      </w:pPr>
      <w:r>
        <w:t xml:space="preserve">Research Methodology</w:t>
      </w:r>
    </w:p>
    <w:p>
      <w:pPr>
        <w:pStyle w:val="FirstParagraph"/>
      </w:pPr>
      <w:r>
        <w:t xml:space="preserve">This mixed-methods study will deploy three integrated approaches to analyze the</w:t>
      </w:r>
      <w:r>
        <w:t xml:space="preserve"> </w:t>
      </w:r>
      <w:r>
        <w:rPr>
          <w:iCs/>
          <w:i/>
        </w:rPr>
        <w:t xml:space="preserve">Graphic Designer</w:t>
      </w:r>
      <w:r>
        <w:t xml:space="preserve">'s role in Chicago:</w:t>
      </w:r>
    </w:p>
    <w:p>
      <w:pPr>
        <w:numPr>
          <w:ilvl w:val="0"/>
          <w:numId w:val="1001"/>
        </w:numPr>
        <w:pStyle w:val="Compact"/>
      </w:pPr>
      <w:r>
        <w:rPr>
          <w:bCs/>
          <w:b/>
        </w:rPr>
        <w:t xml:space="preserve">Qualitative Case Studies (N=15):</w:t>
      </w:r>
      <w:r>
        <w:t xml:space="preserve"> </w:t>
      </w:r>
      <w:r>
        <w:t xml:space="preserve">In-depth interviews with active Graphic Designers across Chicago's spectrum—from independent practitioners in Pilsen to agency leads at DDB Chicago—to document real-time adaptation strategies. Questions will probe how they balance client demands, cultural sensitivity, and emerging technologies like generative AI.</w:t>
      </w:r>
    </w:p>
    <w:p>
      <w:pPr>
        <w:numPr>
          <w:ilvl w:val="0"/>
          <w:numId w:val="1001"/>
        </w:numPr>
        <w:pStyle w:val="Compact"/>
      </w:pPr>
      <w:r>
        <w:rPr>
          <w:bCs/>
          <w:b/>
        </w:rPr>
        <w:t xml:space="preserve">Quantitative Survey (N=300):</w:t>
      </w:r>
      <w:r>
        <w:t xml:space="preserve"> </w:t>
      </w:r>
      <w:r>
        <w:t xml:space="preserve">A digital survey distributed through AIGA Chicago and design networks assessing perceived industry shifts (e.g., "How has AI impacted your workflow?"), community engagement practices, and economic pressures specific to United States Chicago.</w:t>
      </w:r>
    </w:p>
    <w:p>
      <w:pPr>
        <w:numPr>
          <w:ilvl w:val="0"/>
          <w:numId w:val="1001"/>
        </w:numPr>
        <w:pStyle w:val="Compact"/>
      </w:pPr>
      <w:r>
        <w:rPr>
          <w:bCs/>
          <w:b/>
        </w:rPr>
        <w:t xml:space="preserve">Critical Project Analysis:</w:t>
      </w:r>
      <w:r>
        <w:t xml:space="preserve"> </w:t>
      </w:r>
      <w:r>
        <w:t xml:space="preserve">Examination of 25+ high-impact Chicago-based campaigns (e.g., the "Chicago is Open" city initiative, South Side Community Art Center branding) to identify patterns in culturally responsive design execution.</w:t>
      </w:r>
    </w:p>
    <w:p>
      <w:pPr>
        <w:pStyle w:val="FirstParagraph"/>
      </w:pPr>
      <w:r>
        <w:t xml:space="preserve">Participant selection will prioritize geographic and socioeconomic diversity across Chicago's 77 community areas, ensuring representation from both affluent (e.g., Lincoln Park) and marginalized neighborhoods (e.g., Englewood). Data analysis will employ thematic coding for qualitative insights and regression modeling for survey responses to isolate variables most influencing design success in this context.</w:t>
      </w:r>
    </w:p>
    <w:bookmarkEnd w:id="23"/>
    <w:bookmarkStart w:id="24" w:name="expected-outcomes-and-significance"/>
    <w:p>
      <w:pPr>
        <w:pStyle w:val="Heading2"/>
      </w:pPr>
      <w:r>
        <w:t xml:space="preserve">Expected Outcomes and Significance</w:t>
      </w:r>
    </w:p>
    <w:p>
      <w:pPr>
        <w:pStyle w:val="FirstParagraph"/>
      </w:pPr>
      <w:r>
        <w:t xml:space="preserve">This research anticipates four key contributions:</w:t>
      </w:r>
    </w:p>
    <w:p>
      <w:pPr>
        <w:numPr>
          <w:ilvl w:val="0"/>
          <w:numId w:val="1002"/>
        </w:numPr>
        <w:pStyle w:val="Compact"/>
      </w:pPr>
      <w:r>
        <w:rPr>
          <w:bCs/>
          <w:b/>
        </w:rPr>
        <w:t xml:space="preserve">A Chicago-Specific Design Framework:</w:t>
      </w:r>
      <w:r>
        <w:t xml:space="preserve"> </w:t>
      </w:r>
      <w:r>
        <w:t xml:space="preserve">A practical model ("The Chicago Design Matrix") categorizing success factors for the Graphic Designer, including community engagement protocols, tech adaptation tactics, and cross-cultural communication strategies tailored to the city's neighborhoods.</w:t>
      </w:r>
    </w:p>
    <w:p>
      <w:pPr>
        <w:numPr>
          <w:ilvl w:val="0"/>
          <w:numId w:val="1002"/>
        </w:numPr>
        <w:pStyle w:val="Compact"/>
      </w:pPr>
      <w:r>
        <w:rPr>
          <w:bCs/>
          <w:b/>
        </w:rPr>
        <w:t xml:space="preserve">Economic Impact Insights:</w:t>
      </w:r>
      <w:r>
        <w:t xml:space="preserve"> </w:t>
      </w:r>
      <w:r>
        <w:t xml:space="preserve">Data demonstrating how culturally attuned design services generate measurable ROI for local businesses—addressing a critical gap in convincing Chicago-based entrepreneurs to invest in professional design.</w:t>
      </w:r>
    </w:p>
    <w:p>
      <w:pPr>
        <w:numPr>
          <w:ilvl w:val="0"/>
          <w:numId w:val="1002"/>
        </w:numPr>
        <w:pStyle w:val="Compact"/>
      </w:pPr>
      <w:r>
        <w:rPr>
          <w:bCs/>
          <w:b/>
        </w:rPr>
        <w:t xml:space="preserve">Professional Development Roadmap:</w:t>
      </w:r>
      <w:r>
        <w:t xml:space="preserve"> </w:t>
      </w:r>
      <w:r>
        <w:t xml:space="preserve">Curriculum recommendations for design schools (e.g., SAIC, IIT) to integrate Chicago-centric case studies, preparing graduates for the city's unique market demands.</w:t>
      </w:r>
    </w:p>
    <w:p>
      <w:pPr>
        <w:numPr>
          <w:ilvl w:val="0"/>
          <w:numId w:val="1002"/>
        </w:numPr>
        <w:pStyle w:val="Compact"/>
      </w:pPr>
      <w:r>
        <w:rPr>
          <w:bCs/>
          <w:b/>
        </w:rPr>
        <w:t xml:space="preserve">Advocacy Tool:</w:t>
      </w:r>
      <w:r>
        <w:t xml:space="preserve"> </w:t>
      </w:r>
      <w:r>
        <w:t xml:space="preserve">A public-facing toolkit empowering nonprofit organizations to effectively commission Graphic Designer services through transparent budgeting and community co-creation frameworks.</w:t>
      </w:r>
    </w:p>
    <w:p>
      <w:pPr>
        <w:pStyle w:val="FirstParagraph"/>
      </w:pPr>
      <w:r>
        <w:t xml:space="preserve">The significance extends beyond academia: By validating how the</w:t>
      </w:r>
      <w:r>
        <w:t xml:space="preserve"> </w:t>
      </w:r>
      <w:r>
        <w:rPr>
          <w:iCs/>
          <w:i/>
        </w:rPr>
        <w:t xml:space="preserve">Graphic Designer</w:t>
      </w:r>
      <w:r>
        <w:t xml:space="preserve"> </w:t>
      </w:r>
      <w:r>
        <w:t xml:space="preserve">serves as a "cultural translator" in United States Chicago, this work directly supports the city's strategic goal of using design to reduce inequality (Chicago Design Policy, 2022). It positions design as an economic driver—not merely aesthetic—within Chicago's $1.7 billion creative economy (City of Chicago Economic Development Report, 2023).</w:t>
      </w:r>
    </w:p>
    <w:bookmarkEnd w:id="24"/>
    <w:bookmarkStart w:id="25" w:name="timeline-and-feasibility"/>
    <w:p>
      <w:pPr>
        <w:pStyle w:val="Heading2"/>
      </w:pPr>
      <w:r>
        <w:t xml:space="preserve">Timeline and Feasibility</w:t>
      </w:r>
    </w:p>
    <w:p>
      <w:pPr>
        <w:pStyle w:val="FirstParagraph"/>
      </w:pPr>
      <w:r>
        <w:t xml:space="preserve">Conducted over 18 months within the University of Illinois at Chicago's Design Lab facilities, the project timeline is structured as follows:</w:t>
      </w:r>
    </w:p>
    <w:p>
      <w:pPr>
        <w:numPr>
          <w:ilvl w:val="0"/>
          <w:numId w:val="1003"/>
        </w:numPr>
        <w:pStyle w:val="Compact"/>
      </w:pPr>
      <w:r>
        <w:rPr>
          <w:bCs/>
          <w:b/>
        </w:rPr>
        <w:t xml:space="preserve">Months 1-3:</w:t>
      </w:r>
      <w:r>
        <w:t xml:space="preserve"> </w:t>
      </w:r>
      <w:r>
        <w:t xml:space="preserve">Literature review consolidation and ethics approval (IRB) with focus on Chicago community partnerships.</w:t>
      </w:r>
    </w:p>
    <w:p>
      <w:pPr>
        <w:numPr>
          <w:ilvl w:val="0"/>
          <w:numId w:val="1003"/>
        </w:numPr>
        <w:pStyle w:val="Compact"/>
      </w:pPr>
      <w:r>
        <w:rPr>
          <w:bCs/>
          <w:b/>
        </w:rPr>
        <w:t xml:space="preserve">Months 4-9:</w:t>
      </w:r>
      <w:r>
        <w:t xml:space="preserve"> </w:t>
      </w:r>
      <w:r>
        <w:t xml:space="preserve">Data collection via interviews/surveys; concurrent analysis of design case studies.</w:t>
      </w:r>
    </w:p>
    <w:p>
      <w:pPr>
        <w:numPr>
          <w:ilvl w:val="0"/>
          <w:numId w:val="1003"/>
        </w:numPr>
        <w:pStyle w:val="Compact"/>
      </w:pPr>
      <w:r>
        <w:rPr>
          <w:bCs/>
          <w:b/>
        </w:rPr>
        <w:t xml:space="preserve">Months 10-15:</w:t>
      </w:r>
      <w:r>
        <w:t xml:space="preserve"> </w:t>
      </w:r>
      <w:r>
        <w:t xml:space="preserve">Framework development and validation through workshops with AIGA Chicago members.</w:t>
      </w:r>
    </w:p>
    <w:p>
      <w:pPr>
        <w:numPr>
          <w:ilvl w:val="0"/>
          <w:numId w:val="1003"/>
        </w:numPr>
        <w:pStyle w:val="Compact"/>
      </w:pPr>
      <w:r>
        <w:rPr>
          <w:bCs/>
          <w:b/>
        </w:rPr>
        <w:t xml:space="preserve">Months 16-18:</w:t>
      </w:r>
      <w:r>
        <w:t xml:space="preserve"> </w:t>
      </w:r>
      <w:r>
        <w:t xml:space="preserve">Thesis writing, tool development (for nonprofits), and final community presentation at the Design Museum of Chicago.</w:t>
      </w:r>
    </w:p>
    <w:p>
      <w:pPr>
        <w:pStyle w:val="FirstParagraph"/>
      </w:pPr>
      <w:r>
        <w:t xml:space="preserve">The feasibility is strengthened by existing partnerships: The University of Illinois at Chicago's Center for Urban Research has formalized agreements with neighborhood associations (e.g., Pilsen Alliance) and design firms like Studio 17, ensuring access to diverse participant groups. All research adheres to the Chicago Community Trust's ethical guidelines for cultural engagement.</w:t>
      </w:r>
    </w:p>
    <w:bookmarkEnd w:id="25"/>
    <w:bookmarkStart w:id="26" w:name="conclusion"/>
    <w:p>
      <w:pPr>
        <w:pStyle w:val="Heading2"/>
      </w:pPr>
      <w:r>
        <w:t xml:space="preserve">Conclusion</w:t>
      </w:r>
    </w:p>
    <w:p>
      <w:pPr>
        <w:pStyle w:val="FirstParagraph"/>
      </w:pPr>
      <w:r>
        <w:t xml:space="preserve">This Thesis Proposal establishes that the role of the</w:t>
      </w:r>
      <w:r>
        <w:t xml:space="preserve"> </w:t>
      </w:r>
      <w:r>
        <w:rPr>
          <w:iCs/>
          <w:i/>
        </w:rPr>
        <w:t xml:space="preserve">Graphic Designer</w:t>
      </w:r>
      <w:r>
        <w:t xml:space="preserve"> </w:t>
      </w:r>
      <w:r>
        <w:t xml:space="preserve">in United States Chicago transcends technical skill—it embodies a civic responsibility to interpret and amplify community identity within one of America's most dynamic urban environments. By centering Chicago's unique demographic and economic realities, this research moves beyond generic design discourse to deliver actionable insights for practitioners, educators, and communities. The findings will not only enrich academic understanding of design sociology but also equip the next generation of</w:t>
      </w:r>
      <w:r>
        <w:t xml:space="preserve"> </w:t>
      </w:r>
      <w:r>
        <w:rPr>
          <w:iCs/>
          <w:i/>
        </w:rPr>
        <w:t xml:space="preserve">Graphic Designer</w:t>
      </w:r>
      <w:r>
        <w:t xml:space="preserve"> </w:t>
      </w:r>
      <w:r>
        <w:t xml:space="preserve">professionals with the cultural intelligence needed to thrive in Chicago’s evolving landscape. In doing so, it contributes meaningfully to building a more inclusive and innovative creative economy for all residents of Chicago, United States.</w:t>
      </w:r>
    </w:p>
    <w:bookmarkEnd w:id="26"/>
    <w:bookmarkStart w:id="27" w:name="references-selected"/>
    <w:p>
      <w:pPr>
        <w:pStyle w:val="Heading2"/>
      </w:pPr>
      <w:r>
        <w:t xml:space="preserve">References (Selected)</w:t>
      </w:r>
    </w:p>
    <w:p>
      <w:pPr>
        <w:pStyle w:val="FirstParagraph"/>
      </w:pPr>
      <w:r>
        <w:t xml:space="preserve">Berman, A. (2021). *Design in the Age of AI*. MIT Press.</w:t>
      </w:r>
      <w:r>
        <w:br/>
      </w:r>
      <w:r>
        <w:t xml:space="preserve">Chicago Department of Cultural Affairs. (2023). *Creative Industries Report*. City of Chicago.</w:t>
      </w:r>
      <w:r>
        <w:br/>
      </w:r>
      <w:r>
        <w:t xml:space="preserve">Kohn, M., &amp; Hays, T. (2020). Place-Based Design: Beyond the Local. *Journal of Visual Culture*, 19(4), 514–537.</w:t>
      </w:r>
      <w:r>
        <w:br/>
      </w:r>
      <w:r>
        <w:t xml:space="preserve">Lupton, E. (2019). *Graphic Design Thinking*. Thames &amp; Hudson.</w:t>
      </w:r>
      <w:r>
        <w:br/>
      </w:r>
      <w:r>
        <w:t xml:space="preserve">City of Chicago Economic Development Report. (2023). *Creative Economy Impact Analysis*.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Graphic Designer in United States Chicago</dc:title>
  <dc:creator/>
  <dc:language>en</dc:language>
  <cp:keywords/>
  <dcterms:created xsi:type="dcterms:W3CDTF">2026-07-23T16:27:42Z</dcterms:created>
  <dcterms:modified xsi:type="dcterms:W3CDTF">2026-07-23T16:27:42Z</dcterms:modified>
</cp:coreProperties>
</file>

<file path=docProps/custom.xml><?xml version="1.0" encoding="utf-8"?>
<Properties xmlns="http://schemas.openxmlformats.org/officeDocument/2006/custom-properties" xmlns:vt="http://schemas.openxmlformats.org/officeDocument/2006/docPropsVTypes"/>
</file>