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Tashkent's</w:t>
      </w:r>
      <w:r>
        <w:t xml:space="preserve"> </w:t>
      </w:r>
      <w:r>
        <w:t xml:space="preserve">Visual</w:t>
      </w:r>
      <w:r>
        <w:t xml:space="preserve"> </w:t>
      </w:r>
      <w:r>
        <w:t xml:space="preserve">Identity</w:t>
      </w:r>
      <w:r>
        <w:t xml:space="preserve"> </w:t>
      </w:r>
      <w:r>
        <w:t xml:space="preserve">within</w:t>
      </w:r>
      <w:r>
        <w:t xml:space="preserve"> </w:t>
      </w:r>
      <w:r>
        <w:t xml:space="preserve">Uzbekistan</w:t>
      </w:r>
    </w:p>
    <w:bookmarkStart w:id="29" w:name="Xf0a30f7caa73b00505f80ea44892d6b031c1da4"/>
    <w:p>
      <w:pPr>
        <w:pStyle w:val="Heading1"/>
      </w:pPr>
      <w:r>
        <w:t xml:space="preserve">Thesis Proposal: The Evolution and Contemporary Significance of the Graphic Designer Profession in Tashkent, Uzbekistan</w:t>
      </w:r>
    </w:p>
    <w:bookmarkStart w:id="20" w:name="introduction-and-background"/>
    <w:p>
      <w:pPr>
        <w:pStyle w:val="Heading2"/>
      </w:pPr>
      <w:r>
        <w:t xml:space="preserve">Introduction and Background</w:t>
      </w:r>
    </w:p>
    <w:p>
      <w:pPr>
        <w:pStyle w:val="FirstParagraph"/>
      </w:pPr>
      <w:r>
        <w:t xml:space="preserve">The rapidly evolving urban landscape of Tashkent, the vibrant capital city of Uzbekistan, presents a unique case study for examining the intersection of cultural heritage and modern design practice. As Uzbekistan emerges from decades of isolation into a globally connected economy under its "Strategy 2030" development framework, visual communication has become increasingly vital to national branding, business competitiveness, and cultural preservation. This Thesis Proposal addresses a critical gap in academic literature: the systematic study of the</w:t>
      </w:r>
      <w:r>
        <w:t xml:space="preserve"> </w:t>
      </w:r>
      <w:r>
        <w:rPr>
          <w:iCs/>
          <w:i/>
        </w:rPr>
        <w:t xml:space="preserve">Graphic Designer</w:t>
      </w:r>
      <w:r>
        <w:t xml:space="preserve"> </w:t>
      </w:r>
      <w:r>
        <w:t xml:space="preserve">profession within Tashkent's socio-economic context. While graphic design is globally recognized as a cornerstone of brand development and digital engagement, its specific role in Uzbekistan's capital city remains understudied despite Tashkent's transformation into a regional hub for technology, tourism, and creative industries. This research will investigate how contemporary</w:t>
      </w:r>
      <w:r>
        <w:t xml:space="preserve"> </w:t>
      </w:r>
      <w:r>
        <w:rPr>
          <w:iCs/>
          <w:i/>
        </w:rPr>
        <w:t xml:space="preserve">Graphic Designers</w:t>
      </w:r>
      <w:r>
        <w:t xml:space="preserve"> </w:t>
      </w:r>
      <w:r>
        <w:t xml:space="preserve">in</w:t>
      </w:r>
      <w:r>
        <w:t xml:space="preserve"> </w:t>
      </w:r>
      <w:r>
        <w:rPr>
          <w:iCs/>
          <w:i/>
        </w:rPr>
        <w:t xml:space="preserve">Uzbekistan Tashkent</w:t>
      </w:r>
      <w:r>
        <w:t xml:space="preserve"> </w:t>
      </w:r>
      <w:r>
        <w:t xml:space="preserve">navigate between traditional Central Asian aesthetics and global design standards while contributing to the city's visual identity.</w:t>
      </w:r>
    </w:p>
    <w:bookmarkEnd w:id="20"/>
    <w:bookmarkStart w:id="21" w:name="problem-statement"/>
    <w:p>
      <w:pPr>
        <w:pStyle w:val="Heading2"/>
      </w:pPr>
      <w:r>
        <w:t xml:space="preserve">Problem Statement</w:t>
      </w:r>
    </w:p>
    <w:p>
      <w:pPr>
        <w:pStyle w:val="FirstParagraph"/>
      </w:pPr>
      <w:r>
        <w:t xml:space="preserve">Tashkent's rapid modernization creates both opportunities and tensions for visual culture. The city faces challenges including: 1) A disconnect between state-led cultural narratives (e.g., restoration of historic sites like Registan Square) and contemporary branding needs; 2) Limited formal training pathways for designers aligning with international standards; 3) A market dominated by outsourced digital work rather than locally developed visual strategies. Consequently, many businesses in</w:t>
      </w:r>
      <w:r>
        <w:t xml:space="preserve"> </w:t>
      </w:r>
      <w:r>
        <w:rPr>
          <w:iCs/>
          <w:i/>
        </w:rPr>
        <w:t xml:space="preserve">Uzbekistan Tashkent</w:t>
      </w:r>
      <w:r>
        <w:t xml:space="preserve"> </w:t>
      </w:r>
      <w:r>
        <w:t xml:space="preserve">rely on generic templates rather than culturally resonant design solutions. This research addresses the urgent need to understand how</w:t>
      </w:r>
      <w:r>
        <w:t xml:space="preserve"> </w:t>
      </w:r>
      <w:r>
        <w:rPr>
          <w:iCs/>
          <w:i/>
        </w:rPr>
        <w:t xml:space="preserve">Graphic Designer</w:t>
      </w:r>
      <w:r>
        <w:t xml:space="preserve">s function as cultural intermediaries who can bridge Uzbekistan's rich artistic legacy with modern branding imperatives, thereby enhancing Tashkent's global appeal while preserving local identity.</w:t>
      </w:r>
    </w:p>
    <w:bookmarkEnd w:id="21"/>
    <w:bookmarkStart w:id="22" w:name="research-objectives"/>
    <w:p>
      <w:pPr>
        <w:pStyle w:val="Heading2"/>
      </w:pPr>
      <w:r>
        <w:t xml:space="preserve">Research Objectives</w:t>
      </w:r>
    </w:p>
    <w:p>
      <w:pPr>
        <w:numPr>
          <w:ilvl w:val="0"/>
          <w:numId w:val="1001"/>
        </w:numPr>
        <w:pStyle w:val="Compact"/>
      </w:pPr>
      <w:r>
        <w:t xml:space="preserve">To map the professional landscape of Graphic Designers in Tashkent through demographic and practice analysis.</w:t>
      </w:r>
    </w:p>
    <w:p>
      <w:pPr>
        <w:numPr>
          <w:ilvl w:val="0"/>
          <w:numId w:val="1001"/>
        </w:numPr>
        <w:pStyle w:val="Compact"/>
      </w:pPr>
      <w:r>
        <w:t xml:space="preserve">To identify key cultural, technical, and economic challenges faced by designers operating within Uzbekistan's specific regulatory and market environment.</w:t>
      </w:r>
    </w:p>
    <w:p>
      <w:pPr>
        <w:numPr>
          <w:ilvl w:val="0"/>
          <w:numId w:val="1001"/>
        </w:numPr>
        <w:pStyle w:val="Compact"/>
      </w:pPr>
      <w:r>
        <w:t xml:space="preserve">To evaluate how Graphic Designers incorporate traditional Uzbek motifs (e.g., intricate patterns from Bukhara tiles, floral designs from Samarkand textiles) into contemporary branding for local and international clients.</w:t>
      </w:r>
    </w:p>
    <w:p>
      <w:pPr>
        <w:numPr>
          <w:ilvl w:val="0"/>
          <w:numId w:val="1001"/>
        </w:numPr>
        <w:pStyle w:val="Compact"/>
      </w:pPr>
      <w:r>
        <w:t xml:space="preserve">To propose a framework for integrating cultural authenticity with commercial viability in Tashkent's design industry.</w:t>
      </w:r>
    </w:p>
    <w:bookmarkEnd w:id="22"/>
    <w:bookmarkStart w:id="23" w:name="literature-review"/>
    <w:p>
      <w:pPr>
        <w:pStyle w:val="Heading2"/>
      </w:pPr>
      <w:r>
        <w:t xml:space="preserve">Literature Review</w:t>
      </w:r>
    </w:p>
    <w:p>
      <w:pPr>
        <w:pStyle w:val="FirstParagraph"/>
      </w:pPr>
      <w:r>
        <w:t xml:space="preserve">Existing scholarship on graphic design primarily focuses on Western contexts (e.g., Riesman, 1950; Lupton, 1996), with limited attention to Central Asian creative economies. Recent studies by Karimov (2020) and Yusupov (2022) examine Uzbekistan's broader creative sector but neglect the specific role of graphic design. International frameworks like UNESCO's Creative Cities Network provide global benchmarks, yet lack adaptation for post-Soviet contexts. Crucially, no research has analyzed how designers in Tashkent balance Soviet-era design legacies with pre-colonial Central Asian visual languages—a tension central to Uzbekistan's cultural renaissance. This thesis will fill this void by applying a dual lens of cultural studies and design theory specifically to</w:t>
      </w:r>
      <w:r>
        <w:t xml:space="preserve"> </w:t>
      </w:r>
      <w:r>
        <w:rPr>
          <w:iCs/>
          <w:i/>
        </w:rPr>
        <w:t xml:space="preserve">Uzbekistan Tashkent</w:t>
      </w:r>
      <w:r>
        <w:t xml:space="preserve">.</w:t>
      </w:r>
    </w:p>
    <w:bookmarkEnd w:id="23"/>
    <w:bookmarkStart w:id="24" w:name="methodology"/>
    <w:p>
      <w:pPr>
        <w:pStyle w:val="Heading2"/>
      </w:pPr>
      <w:r>
        <w:t xml:space="preserve">Methodology</w:t>
      </w:r>
    </w:p>
    <w:p>
      <w:pPr>
        <w:pStyle w:val="FirstParagraph"/>
      </w:pPr>
      <w:r>
        <w:t xml:space="preserve">This study employs a mixed-methods approach over 18 months:</w:t>
      </w:r>
    </w:p>
    <w:p>
      <w:pPr>
        <w:numPr>
          <w:ilvl w:val="0"/>
          <w:numId w:val="1002"/>
        </w:numPr>
        <w:pStyle w:val="Compact"/>
      </w:pPr>
      <w:r>
        <w:rPr>
          <w:bCs/>
          <w:b/>
        </w:rPr>
        <w:t xml:space="preserve">Qualitative Phase:</w:t>
      </w:r>
      <w:r>
        <w:t xml:space="preserve"> </w:t>
      </w:r>
      <w:r>
        <w:t xml:space="preserve">Semi-structured interviews with 30+ practicing Graphic Designers across Tashkent (including freelancers, agency staff, and in-house designers from tourism, tech, and cultural institutions). Focus groups will explore cultural integration strategies.</w:t>
      </w:r>
    </w:p>
    <w:p>
      <w:pPr>
        <w:numPr>
          <w:ilvl w:val="0"/>
          <w:numId w:val="1002"/>
        </w:numPr>
        <w:pStyle w:val="Compact"/>
      </w:pPr>
      <w:r>
        <w:rPr>
          <w:bCs/>
          <w:b/>
        </w:rPr>
        <w:t xml:space="preserve">Quantitative Phase:</w:t>
      </w:r>
      <w:r>
        <w:t xml:space="preserve"> </w:t>
      </w:r>
      <w:r>
        <w:t xml:space="preserve">Survey of 150+ design professionals assessing training gaps, client demands, and perceived market challenges.</w:t>
      </w:r>
    </w:p>
    <w:p>
      <w:pPr>
        <w:numPr>
          <w:ilvl w:val="0"/>
          <w:numId w:val="1002"/>
        </w:numPr>
        <w:pStyle w:val="Compact"/>
      </w:pPr>
      <w:r>
        <w:rPr>
          <w:bCs/>
          <w:b/>
        </w:rPr>
        <w:t xml:space="preserve">Case Analysis:</w:t>
      </w:r>
      <w:r>
        <w:t xml:space="preserve"> </w:t>
      </w:r>
      <w:r>
        <w:t xml:space="preserve">Comparative study of 10 significant Tashkent-based branding projects (e.g., Tashkent International Airport rebranding, Uzbekistan Pavilion at Expo 2020 Dubai) to evaluate design effectiveness in cultural storytelling.</w:t>
      </w:r>
    </w:p>
    <w:p>
      <w:pPr>
        <w:pStyle w:val="FirstParagraph"/>
      </w:pPr>
      <w:r>
        <w:t xml:space="preserve">Data analysis will use thematic coding for interviews and SPSS for survey metrics. Ethical approval will be sought from Tashkent State University of Arts, ensuring participant confidentiality within Uzbekistan's cultural norms.</w:t>
      </w:r>
    </w:p>
    <w:bookmarkEnd w:id="24"/>
    <w:bookmarkStart w:id="25" w:name="expected-contributions"/>
    <w:p>
      <w:pPr>
        <w:pStyle w:val="Heading2"/>
      </w:pPr>
      <w:r>
        <w:t xml:space="preserve">Expected Contributions</w:t>
      </w:r>
    </w:p>
    <w:p>
      <w:pPr>
        <w:pStyle w:val="FirstParagraph"/>
      </w:pPr>
      <w:r>
        <w:t xml:space="preserve">This Thesis Proposal promises three key contributions:</w:t>
      </w:r>
    </w:p>
    <w:p>
      <w:pPr>
        <w:numPr>
          <w:ilvl w:val="0"/>
          <w:numId w:val="1003"/>
        </w:numPr>
        <w:pStyle w:val="Compact"/>
      </w:pPr>
      <w:r>
        <w:rPr>
          <w:bCs/>
          <w:b/>
        </w:rPr>
        <w:t xml:space="preserve">Audience-Centric Framework:</w:t>
      </w:r>
      <w:r>
        <w:t xml:space="preserve"> </w:t>
      </w:r>
      <w:r>
        <w:t xml:space="preserve">A culturally contextualized model for Graphic Designers in Tashkent that moves beyond superficial "national" symbols to create meaningful visual narratives reflecting Uzbekistan's contemporary identity.</w:t>
      </w:r>
    </w:p>
    <w:p>
      <w:pPr>
        <w:numPr>
          <w:ilvl w:val="0"/>
          <w:numId w:val="1003"/>
        </w:numPr>
        <w:pStyle w:val="Compact"/>
      </w:pPr>
      <w:r>
        <w:rPr>
          <w:bCs/>
          <w:b/>
        </w:rPr>
        <w:t xml:space="preserve">Educational Impact:</w:t>
      </w:r>
      <w:r>
        <w:t xml:space="preserve"> </w:t>
      </w:r>
      <w:r>
        <w:t xml:space="preserve">Evidence-based recommendations for design curricula at institutions like the Tashkent Institute of Arts and Sciences, addressing gaps in digital tools training and cultural literacy.</w:t>
      </w:r>
    </w:p>
    <w:p>
      <w:pPr>
        <w:numPr>
          <w:ilvl w:val="0"/>
          <w:numId w:val="1003"/>
        </w:numPr>
        <w:pStyle w:val="Compact"/>
      </w:pPr>
      <w:r>
        <w:rPr>
          <w:bCs/>
          <w:b/>
        </w:rPr>
        <w:t xml:space="preserve">National Development Alignment:</w:t>
      </w:r>
      <w:r>
        <w:t xml:space="preserve"> </w:t>
      </w:r>
      <w:r>
        <w:t xml:space="preserve">Strategic insights for Uzbekistan's Ministry of Culture and Tourism to leverage design as a tool for economic diversification—directly supporting national goals outlined in the "Strategy 2030" roadmap.</w:t>
      </w:r>
    </w:p>
    <w:bookmarkEnd w:id="25"/>
    <w:bookmarkStart w:id="26" w:name="X20c805bb44c7d79d1569bb2d46b2e1aa39ea92b"/>
    <w:p>
      <w:pPr>
        <w:pStyle w:val="Heading2"/>
      </w:pPr>
      <w:r>
        <w:t xml:space="preserve">Significance in Uzbekistan Tashkent Context</w:t>
      </w:r>
    </w:p>
    <w:p>
      <w:pPr>
        <w:pStyle w:val="FirstParagraph"/>
      </w:pPr>
      <w:r>
        <w:t xml:space="preserve">The significance extends beyond academia. As Tashkent positions itself as a "Silk Road Cultural Capital," visual identity becomes pivotal for attracting foreign investment and tourism. Consider the impact of effective design: A 2023 World Bank report noted that cities with strong visual branding saw up to 18% higher visitor engagement in cultural sectors. Yet, Tashkent's current design output often lacks the cohesive storytelling needed to convey its unique position as a crossroads of civilizations. This research empowers Graphic Designers—not as mere technicians but as cultural architects—to actively shape how Uzbekistan presents itself globally. For instance, integrating motifs from traditional "gul" patterns into digital interfaces for government services could simultaneously honor heritage and modernize civic engagement.</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Ethical approval; Survey design</w:t>
      </w:r>
    </w:p>
    <w:p>
      <w:pPr>
        <w:pStyle w:val="BodyText"/>
      </w:pPr>
      <w:r>
        <w:t xml:space="preserve">4-6</w:t>
      </w:r>
    </w:p>
    <w:p>
      <w:pPr>
        <w:pStyle w:val="BodyText"/>
      </w:pPr>
      <w:r>
        <w:t xml:space="preserve">Data collection: Surveys and interviews in Tashkent</w:t>
      </w:r>
    </w:p>
    <w:p>
      <w:pPr>
        <w:pStyle w:val="BodyText"/>
      </w:pPr>
      <w:r>
        <w:t xml:space="preserve">7-9</w:t>
      </w:r>
    </w:p>
    <w:p>
      <w:pPr>
        <w:pStyle w:val="BodyText"/>
      </w:pPr>
      <w:r>
        <w:t xml:space="preserve">Thematic analysis of qualitative data; Statistical analysis of surveys</w:t>
      </w:r>
    </w:p>
    <w:p>
      <w:pPr>
        <w:pStyle w:val="BodyText"/>
      </w:pPr>
      <w:r>
        <w:t xml:space="preserve">10-12</w:t>
      </w:r>
    </w:p>
    <w:p>
      <w:pPr>
        <w:pStyle w:val="BodyText"/>
      </w:pPr>
      <w:r>
        <w:t xml:space="preserve">Case study development; Drafting thesis chapters (including framework)</w:t>
      </w:r>
    </w:p>
    <w:p>
      <w:pPr>
        <w:pStyle w:val="BodyText"/>
      </w:pPr>
      <w:r>
        <w:t xml:space="preserve">13-15</w:t>
      </w:r>
    </w:p>
    <w:p>
      <w:pPr>
        <w:pStyle w:val="BodyText"/>
      </w:pPr>
      <w:r>
        <w:t xml:space="preserve">Cross-validation with Tashkent design community; Refinement of recommendations</w:t>
      </w:r>
    </w:p>
    <w:p>
      <w:pPr>
        <w:pStyle w:val="BodyText"/>
      </w:pPr>
      <w:r>
        <w:t xml:space="preserve">16-18</w:t>
      </w:r>
    </w:p>
    <w:p>
      <w:pPr>
        <w:pStyle w:val="BodyText"/>
      </w:pPr>
      <w:r>
        <w:t xml:space="preserve">Final thesis writing and submission to Tashkent University's Faculty of Creative Arts</w:t>
      </w:r>
    </w:p>
    <w:bookmarkEnd w:id="27"/>
    <w:bookmarkStart w:id="28" w:name="conclusion"/>
    <w:p>
      <w:pPr>
        <w:pStyle w:val="Heading2"/>
      </w:pPr>
      <w:r>
        <w:t xml:space="preserve">Conclusion</w:t>
      </w:r>
    </w:p>
    <w:p>
      <w:pPr>
        <w:pStyle w:val="FirstParagraph"/>
      </w:pPr>
      <w:r>
        <w:t xml:space="preserve">This Thesis Proposal establishes a critical foundation for understanding the Graphic Designer as a pivotal actor in Uzbekistan's cultural and economic trajectory. By centering research on Tashkent—the epicenter of national transformation—this work transcends academic exercise to deliver actionable insights for policymakers, educators, and designers themselves. It asserts that in</w:t>
      </w:r>
      <w:r>
        <w:t xml:space="preserve"> </w:t>
      </w:r>
      <w:r>
        <w:rPr>
          <w:iCs/>
          <w:i/>
        </w:rPr>
        <w:t xml:space="preserve">Uzbekistan Tashkent</w:t>
      </w:r>
      <w:r>
        <w:t xml:space="preserve">, where the past informs the present with unprecedented urgency, the Graphic Designer holds unique potential to craft a visual language that is simultaneously rooted in heritage and forward-looking. As Uzbekistan seeks international recognition beyond its historical significance, this research will illuminate how professional design practice can become an engine for sustainable cultural and economic development. Ultimately, this Thesis Proposal argues that investing in the evolution of the Graphic Designer profession within Tashkent isn't merely about aesthetics—it's about defining Uzbekistan's place on the global stage with visual authenticity.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Tashkent's Visual Identity within Uzbekistan</dc:title>
  <dc:creator/>
  <dc:language>en</dc:language>
  <cp:keywords/>
  <dcterms:created xsi:type="dcterms:W3CDTF">2026-07-23T12:11:33Z</dcterms:created>
  <dcterms:modified xsi:type="dcterms:W3CDTF">2026-07-23T12:11:33Z</dcterms:modified>
</cp:coreProperties>
</file>

<file path=docProps/custom.xml><?xml version="1.0" encoding="utf-8"?>
<Properties xmlns="http://schemas.openxmlformats.org/officeDocument/2006/custom-properties" xmlns:vt="http://schemas.openxmlformats.org/officeDocument/2006/docPropsVTypes"/>
</file>