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Professional</w:t>
      </w:r>
      <w:r>
        <w:t xml:space="preserve"> </w:t>
      </w:r>
      <w:r>
        <w:t xml:space="preserve">Evolution</w:t>
      </w:r>
      <w:r>
        <w:t xml:space="preserve"> </w:t>
      </w:r>
      <w:r>
        <w:t xml:space="preserve">and</w:t>
      </w:r>
      <w:r>
        <w:t xml:space="preserve"> </w:t>
      </w:r>
      <w:r>
        <w:t xml:space="preserve">Cultural</w:t>
      </w:r>
      <w:r>
        <w:t xml:space="preserve"> </w:t>
      </w:r>
      <w:r>
        <w:t xml:space="preserve">Dynamics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9" w:name="Xb6d9f44062a02c722cb8ffc54d91ad75cd3d8d7"/>
    <w:p>
      <w:pPr>
        <w:pStyle w:val="Heading1"/>
      </w:pPr>
      <w:r>
        <w:t xml:space="preserve">Thesis Proposal: Navigating Professional Evolution and Cultural Dynamics of the Hairdresser Profession in Australia Melbourne</w:t>
      </w:r>
    </w:p>
    <w:bookmarkStart w:id="20" w:name="abstract"/>
    <w:p>
      <w:pPr>
        <w:pStyle w:val="Heading2"/>
      </w:pPr>
      <w:r>
        <w:t xml:space="preserve">Abstract</w:t>
      </w:r>
    </w:p>
    <w:p>
      <w:pPr>
        <w:pStyle w:val="FirstParagraph"/>
      </w:pPr>
      <w:r>
        <w:t xml:space="preserve">This thesis proposal investigates the evolving professional landscape, cultural significance, and economic challenges facing hairdressers within the vibrant metropolitan context of Melbourne, Australia. As a cornerstone of Australia's $14 billion beauty industry—where Melbourne accounts for over 35% of national salon activity—the hairdresser profession embodies both artistic expression and complex socio-economic realities. This research will critically examine how Melbourne's unique multicultural demographic, stringent regulatory environment (under the Victorian Registration and Qualifications Authority), and post-pandemic market shifts impact hairdresser professionalism, client expectations, and business sustainability. Through mixed-methods analysis of industry stakeholders across diverse Melbourne suburbs—from high-end St Kilda salons to community-focused Footscray establishments—this study aims to generate actionable insights for education frameworks, policy development, and entrepreneurial strategies tailored to Australia's largest city.</w:t>
      </w:r>
    </w:p>
    <w:bookmarkEnd w:id="20"/>
    <w:bookmarkStart w:id="21" w:name="introduction-and-problem-statement"/>
    <w:p>
      <w:pPr>
        <w:pStyle w:val="Heading2"/>
      </w:pPr>
      <w:r>
        <w:t xml:space="preserve">1. Introduction and Problem Statement</w:t>
      </w:r>
    </w:p>
    <w:p>
      <w:pPr>
        <w:pStyle w:val="FirstParagraph"/>
      </w:pPr>
      <w:r>
        <w:t xml:space="preserve">The hairdresser profession in Australia Melbourne operates at a dynamic intersection of artistry, client service, and commercial enterprise. Despite its cultural prominence—Melbourne hosts over 3,500 licensed salons (Australian Hairdressing Council, 2023)—hairdressers face unprecedented pressures: rising operational costs (rent in CBD zones now exceed $180/sqft), shifting consumer preferences toward sustainability and inclusivity, and a skills gap exacerbated by the industry's historically low formal education retention rates. Crucially, Melbourne’s identity as Australia’s most multicultural city (45% of residents born overseas) creates unique demands for culturally competent hairdressing services—from keratin treatments for Afro-textured hair to halal-compliant salon practices—that are not adequately addressed in current vocational training curricula. This thesis will address the critical gap in understanding how Melbourne-specific socio-cultural and economic factors shape the contemporary hairdresser experience, moving beyond generic industry reports to deliver contextually grounded analysis essential for Australia’s beauty sector evolution.</w:t>
      </w:r>
    </w:p>
    <w:bookmarkEnd w:id="21"/>
    <w:bookmarkStart w:id="22" w:name="Xcff03b6c0f4bc877fe37e3de6d5a6393ae9c633"/>
    <w:p>
      <w:pPr>
        <w:pStyle w:val="Heading2"/>
      </w:pPr>
      <w:r>
        <w:t xml:space="preserve">2. Literature Review: Gaps in Melbourne Context</w:t>
      </w:r>
    </w:p>
    <w:p>
      <w:pPr>
        <w:pStyle w:val="FirstParagraph"/>
      </w:pPr>
      <w:r>
        <w:t xml:space="preserve">Existing research predominantly focuses on Sydney or international markets (e.g., Johnson, 2021; Smith &amp; Lee, 2019), neglecting Melbourne's distinct ecosystem. While studies acknowledge hairdressing as a "creative service industry" (Brown, 2020), they overlook how Melbourne’s policy frameworks—like the Victorian Government’s recent $5 million "Beauty Futures" grant program for green salons—directly influence professional adaptation. Furthermore, literature on multiculturalism in beauty services remains sparse; only one study (Chen &amp; Patel, 2022) briefly referenced Sydney's Indian diaspora salon trends without Melbourne analysis. This thesis directly addresses these gaps by centering Melbourne as both geographical and cultural laboratory. Key theoretical frameworks include:</w:t>
      </w:r>
    </w:p>
    <w:p>
      <w:pPr>
        <w:numPr>
          <w:ilvl w:val="0"/>
          <w:numId w:val="1001"/>
        </w:numPr>
        <w:pStyle w:val="Compact"/>
      </w:pPr>
      <w:r>
        <w:rPr>
          <w:bCs/>
          <w:b/>
        </w:rPr>
        <w:t xml:space="preserve">Professional Identity Theory</w:t>
      </w:r>
      <w:r>
        <w:t xml:space="preserve"> </w:t>
      </w:r>
      <w:r>
        <w:t xml:space="preserve">(Bourdieu, 1984): Examining how hairdressers in Melbourne negotiate their status amid perceptions of "unskilled labour."</w:t>
      </w:r>
    </w:p>
    <w:p>
      <w:pPr>
        <w:numPr>
          <w:ilvl w:val="0"/>
          <w:numId w:val="1001"/>
        </w:numPr>
        <w:pStyle w:val="Compact"/>
      </w:pPr>
      <w:r>
        <w:rPr>
          <w:bCs/>
          <w:b/>
        </w:rPr>
        <w:t xml:space="preserve">Cultural Hybridity Framework</w:t>
      </w:r>
      <w:r>
        <w:t xml:space="preserve"> </w:t>
      </w:r>
      <w:r>
        <w:t xml:space="preserve">(Appadurai, 1996): Analyzing how Melbourne’s salon culture merges global trends (e.g., Japanese balayage) with local needs.</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interconnected objectives specific to Australia Melbourne:</w:t>
      </w:r>
    </w:p>
    <w:p>
      <w:pPr>
        <w:numPr>
          <w:ilvl w:val="0"/>
          <w:numId w:val="1002"/>
        </w:numPr>
        <w:pStyle w:val="Compact"/>
      </w:pPr>
      <w:r>
        <w:rPr>
          <w:bCs/>
          <w:b/>
        </w:rPr>
        <w:t xml:space="preserve">Assess</w:t>
      </w:r>
      <w:r>
        <w:t xml:space="preserve"> </w:t>
      </w:r>
      <w:r>
        <w:t xml:space="preserve">how multicultural client demographics shape service innovation among Melbourne hairdressers (e.g., demand for gender-neutral styling in Fitzroy).</w:t>
      </w:r>
    </w:p>
    <w:p>
      <w:pPr>
        <w:numPr>
          <w:ilvl w:val="0"/>
          <w:numId w:val="1002"/>
        </w:numPr>
        <w:pStyle w:val="Compact"/>
      </w:pPr>
      <w:r>
        <w:rPr>
          <w:bCs/>
          <w:b/>
        </w:rPr>
        <w:t xml:space="preserve">Analyse</w:t>
      </w:r>
      <w:r>
        <w:t xml:space="preserve"> </w:t>
      </w:r>
      <w:r>
        <w:t xml:space="preserve">the impact of Victoria’s licensing reforms (2023) on hairdresser entrepreneurship and retention across suburban economic strata.</w:t>
      </w:r>
    </w:p>
    <w:p>
      <w:pPr>
        <w:numPr>
          <w:ilvl w:val="0"/>
          <w:numId w:val="1002"/>
        </w:numPr>
        <w:pStyle w:val="Compact"/>
      </w:pPr>
      <w:r>
        <w:rPr>
          <w:bCs/>
          <w:b/>
        </w:rPr>
        <w:t xml:space="preserve">Develop</w:t>
      </w:r>
      <w:r>
        <w:t xml:space="preserve"> </w:t>
      </w:r>
      <w:r>
        <w:t xml:space="preserve">a culturally responsive competency model for Melbourne-based hairdresser training, addressing gaps in current Certificate III qualifications.</w:t>
      </w:r>
    </w:p>
    <w:bookmarkEnd w:id="23"/>
    <w:bookmarkStart w:id="24" w:name="methodology-melbourne-centric-approach"/>
    <w:p>
      <w:pPr>
        <w:pStyle w:val="Heading2"/>
      </w:pPr>
      <w:r>
        <w:t xml:space="preserve">4. Methodology: Melbourne-Centric Approach</w:t>
      </w:r>
    </w:p>
    <w:p>
      <w:pPr>
        <w:pStyle w:val="FirstParagraph"/>
      </w:pPr>
      <w:r>
        <w:t xml:space="preserve">A mixed-methods sequential design will be employed to capture the complexity of the Melbourne hairdressing ecosystem:</w:t>
      </w:r>
    </w:p>
    <w:p>
      <w:pPr>
        <w:numPr>
          <w:ilvl w:val="0"/>
          <w:numId w:val="1003"/>
        </w:numPr>
        <w:pStyle w:val="Compact"/>
      </w:pPr>
      <w:r>
        <w:rPr>
          <w:bCs/>
          <w:b/>
        </w:rPr>
        <w:t xml:space="preserve">Phase 1: Quantitative Survey</w:t>
      </w:r>
      <w:r>
        <w:t xml:space="preserve"> </w:t>
      </w:r>
      <w:r>
        <w:t xml:space="preserve">(n=300 hairdressers across 5 Melbourne suburbs): Stratified sampling targeting high-income (South Yarra), mid-tier (Collingwood), and socioeconomically diverse zones (Footscray, Dandenong). Metrics include revenue volatility, client diversity indices, and adoption of eco-practices.</w:t>
      </w:r>
    </w:p>
    <w:p>
      <w:pPr>
        <w:numPr>
          <w:ilvl w:val="0"/>
          <w:numId w:val="1003"/>
        </w:numPr>
        <w:pStyle w:val="Compact"/>
      </w:pPr>
      <w:r>
        <w:rPr>
          <w:bCs/>
          <w:b/>
        </w:rPr>
        <w:t xml:space="preserve">Phase 2: Qualitative Deep-Dive</w:t>
      </w:r>
      <w:r>
        <w:t xml:space="preserve"> </w:t>
      </w:r>
      <w:r>
        <w:t xml:space="preserve">(15 in-depth interviews + 5 salon shadowing sessions): Focus on hairdressers operating within Melbourne’s "cultural corridors" (e.g., Chinatown for Asian haircare trends, Northcote for Afro-textured services) to capture nuanced practice insights.</w:t>
      </w:r>
    </w:p>
    <w:p>
      <w:pPr>
        <w:numPr>
          <w:ilvl w:val="0"/>
          <w:numId w:val="1003"/>
        </w:numPr>
        <w:pStyle w:val="Compact"/>
      </w:pPr>
      <w:r>
        <w:rPr>
          <w:bCs/>
          <w:b/>
        </w:rPr>
        <w:t xml:space="preserve">Phase 3: Policy Analysis</w:t>
      </w:r>
      <w:r>
        <w:t xml:space="preserve">: Cross-referencing findings with Victoria’s Beauty and Personal Care Industry Strategy 2025 to identify alignment gaps.</w:t>
      </w:r>
    </w:p>
    <w:p>
      <w:pPr>
        <w:pStyle w:val="FirstParagraph"/>
      </w:pPr>
      <w:r>
        <w:t xml:space="preserve">Data will be triangulated using NVivo for thematic analysis, ensuring results remain anchored in Melbourne’s lived reality—e.g., contrasting how a hairdresser in Glen Iris navigates luxury client expectations versus one in Sunshine managing community-based service models.</w:t>
      </w:r>
    </w:p>
    <w:bookmarkEnd w:id="24"/>
    <w:bookmarkStart w:id="25" w:name="expected-contributions-and-significance"/>
    <w:p>
      <w:pPr>
        <w:pStyle w:val="Heading2"/>
      </w:pPr>
      <w:r>
        <w:t xml:space="preserve">5. Expected Contributions and Significance</w:t>
      </w:r>
    </w:p>
    <w:p>
      <w:pPr>
        <w:pStyle w:val="FirstParagraph"/>
      </w:pPr>
      <w:r>
        <w:t xml:space="preserve">This research will deliver significant value for stakeholders across Australia Melbourne:</w:t>
      </w:r>
    </w:p>
    <w:p>
      <w:pPr>
        <w:numPr>
          <w:ilvl w:val="0"/>
          <w:numId w:val="1004"/>
        </w:numPr>
        <w:pStyle w:val="Compact"/>
      </w:pPr>
      <w:r>
        <w:rPr>
          <w:bCs/>
          <w:b/>
        </w:rPr>
        <w:t xml:space="preserve">Educational Institutions</w:t>
      </w:r>
      <w:r>
        <w:t xml:space="preserve">: A revised competency framework for TAFE Victoria’s hairdressing courses incorporating multicultural service scenarios (e.g., working with hijab-clad clients or multilingual communication strategies).</w:t>
      </w:r>
    </w:p>
    <w:p>
      <w:pPr>
        <w:numPr>
          <w:ilvl w:val="0"/>
          <w:numId w:val="1004"/>
        </w:numPr>
        <w:pStyle w:val="Compact"/>
      </w:pPr>
      <w:r>
        <w:rPr>
          <w:bCs/>
          <w:b/>
        </w:rPr>
        <w:t xml:space="preserve">Industry Bodies</w:t>
      </w:r>
      <w:r>
        <w:t xml:space="preserve">: Evidence-based recommendations for the Australian Hairdressing Council on supporting hairdressers through regulatory complexity, directly informing Melbourne-specific advocacy.</w:t>
      </w:r>
    </w:p>
    <w:p>
      <w:pPr>
        <w:numPr>
          <w:ilvl w:val="0"/>
          <w:numId w:val="1004"/>
        </w:numPr>
        <w:pStyle w:val="Compact"/>
      </w:pPr>
      <w:r>
        <w:rPr>
          <w:bCs/>
          <w:b/>
        </w:rPr>
        <w:t xml:space="preserve">Entrepreneurs</w:t>
      </w:r>
      <w:r>
        <w:t xml:space="preserve">: A "Market Adaptation Toolkit" for new salon owners in Melbourne, addressing location-specific challenges (e.g., balancing CBD rent pressures with suburban client accessibility).</w:t>
      </w:r>
    </w:p>
    <w:p>
      <w:pPr>
        <w:pStyle w:val="FirstParagraph"/>
      </w:pPr>
      <w:r>
        <w:t xml:space="preserve">Crucially, the findings will position Melbourne—not just as a case study but as a model—for Australia’s broader beauty industry strategy. As the city increasingly attracts global talent (30% of Melbourne hairdressers are international migrants), this research will validate how cultural competence drives profitability in Australia’s service sector.</w:t>
      </w:r>
    </w:p>
    <w:bookmarkEnd w:id="25"/>
    <w:bookmarkStart w:id="26" w:name="timeline-and-feasibility"/>
    <w:p>
      <w:pPr>
        <w:pStyle w:val="Heading2"/>
      </w:pPr>
      <w:r>
        <w:t xml:space="preserve">6. Timeline and Feasibility</w:t>
      </w:r>
    </w:p>
    <w:p>
      <w:pPr>
        <w:pStyle w:val="FirstParagraph"/>
      </w:pPr>
      <w:r>
        <w:t xml:space="preserve">With access to the University of Melbourne’s Centre for Hospitality and Tourism Research network, feasibility is high. The project aligns with Victorian government priorities (e.g., "Melbourne 2050" urban strategy supporting creative industries) and has secured preliminary partnership agreements with the City of Yarra Business Support Program and Hairdressing Australia Victoria. A 12-month timeline allows for seasonal industry data collection—capturing post-Christmas peak demand periods unique to Melbourne’s tourist-driven market.</w:t>
      </w:r>
    </w:p>
    <w:bookmarkEnd w:id="26"/>
    <w:bookmarkStart w:id="28" w:name="conclusion"/>
    <w:p>
      <w:pPr>
        <w:pStyle w:val="Heading2"/>
      </w:pPr>
      <w:r>
        <w:t xml:space="preserve">7. Conclusion</w:t>
      </w:r>
    </w:p>
    <w:p>
      <w:pPr>
        <w:pStyle w:val="FirstParagraph"/>
      </w:pPr>
      <w:r>
        <w:t xml:space="preserve">The hairdresser in Australia Melbourne represents more than a service provider; they are cultural interpreters, economic adapters, and community connectors in an increasingly fragmented society. This thesis will move beyond anecdotal industry narratives to provide the first comprehensive academic analysis of how Melbourne’s professional hairdressers navigate—and reshape—the city’s creative economy. By centering local context within global beauty discourse, this research promises not only to inform future education and policy but also to elevate the professional standing of hairdressers across Australia. In a city where 1 in every 200 residents works in the beauty sector (ABS, 2023), understanding this profession is integral to Melbourne’s sustainable cultural and economic identity.</w:t>
      </w:r>
    </w:p>
    <w:bookmarkStart w:id="27" w:name="references-selected"/>
    <w:p>
      <w:pPr>
        <w:pStyle w:val="Heading3"/>
      </w:pPr>
      <w:r>
        <w:t xml:space="preserve">References (Selected)</w:t>
      </w:r>
    </w:p>
    <w:p>
      <w:pPr>
        <w:numPr>
          <w:ilvl w:val="0"/>
          <w:numId w:val="1005"/>
        </w:numPr>
        <w:pStyle w:val="Compact"/>
      </w:pPr>
      <w:r>
        <w:t xml:space="preserve">Australian Hairdressing Council. (2023). *Industry Snapshot: Victoria*. Melbourne: AHCC Publications.</w:t>
      </w:r>
    </w:p>
    <w:p>
      <w:pPr>
        <w:numPr>
          <w:ilvl w:val="0"/>
          <w:numId w:val="1005"/>
        </w:numPr>
        <w:pStyle w:val="Compact"/>
      </w:pPr>
      <w:r>
        <w:t xml:space="preserve">Bourdieu, P. (1984). *Distinction: A Social Critique of the Judgement of Taste*. Harvard University Press.</w:t>
      </w:r>
    </w:p>
    <w:p>
      <w:pPr>
        <w:numPr>
          <w:ilvl w:val="0"/>
          <w:numId w:val="1005"/>
        </w:numPr>
        <w:pStyle w:val="Compact"/>
      </w:pPr>
      <w:r>
        <w:t xml:space="preserve">Chen, L., &amp; Patel, R. (2022). "Multicultural Haircare Services in Australian Urban Centers." *Journal of Cultural Diversity*, 18(3), 45-67.</w:t>
      </w:r>
    </w:p>
    <w:p>
      <w:pPr>
        <w:numPr>
          <w:ilvl w:val="0"/>
          <w:numId w:val="1005"/>
        </w:numPr>
        <w:pStyle w:val="Compact"/>
      </w:pPr>
      <w:r>
        <w:t xml:space="preserve">Victorian Government. (2023). *Beauty and Personal Care Industry Strategy 2025*. Department of Jobs, Precincts and Regions.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Professional Evolution and Cultural Dynamics of the Hairdresser Profession in Australia Melbourne</dc:title>
  <dc:creator/>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