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464b69f94a272b7ad743746acc31ba48da074db"/>
    <w:p>
      <w:pPr>
        <w:pStyle w:val="Heading1"/>
      </w:pPr>
      <w:r>
        <w:t xml:space="preserve">Thesis Proposal: The Evolving Role of the Human Resources Manager in Contemporary Organizations within Malaysia Kuala Lumpur Context</w:t>
      </w:r>
    </w:p>
    <w:bookmarkStart w:id="20" w:name="introduction-and-background"/>
    <w:p>
      <w:pPr>
        <w:pStyle w:val="Heading2"/>
      </w:pPr>
      <w:r>
        <w:t xml:space="preserve">1. Introduction and Background</w:t>
      </w:r>
    </w:p>
    <w:p>
      <w:pPr>
        <w:pStyle w:val="FirstParagraph"/>
      </w:pPr>
      <w:r>
        <w:t xml:space="preserve">In the dynamic economic landscape of Malaysia, particularly within the bustling metropolis of Kuala Lumpur, organizations face unprecedented challenges in talent acquisition, retention, and development. As Malaysia transitions toward a high-income economy under its Vision 2030 framework, the role of the Human Resources Manager has evolved from administrative oversight to strategic business partnership. This thesis proposes an in-depth investigation into how</w:t>
      </w:r>
      <w:r>
        <w:t xml:space="preserve"> </w:t>
      </w:r>
      <w:r>
        <w:rPr>
          <w:bCs/>
          <w:b/>
        </w:rPr>
        <w:t xml:space="preserve">Human Resources Managers</w:t>
      </w:r>
      <w:r>
        <w:t xml:space="preserve"> </w:t>
      </w:r>
      <w:r>
        <w:t xml:space="preserve">in</w:t>
      </w:r>
      <w:r>
        <w:t xml:space="preserve"> </w:t>
      </w:r>
      <w:r>
        <w:rPr>
          <w:bCs/>
          <w:b/>
        </w:rPr>
        <w:t xml:space="preserve">Malaysia Kuala Lumpur</w:t>
      </w:r>
      <w:r>
        <w:t xml:space="preserve">-based organizations navigate cultural diversity, regulatory complexities, and technological disruptions to drive organizational success. The research addresses a critical gap: while global HRM frameworks exist, context-specific strategies for HR leadership within Malaysia's unique socio-economic environment remain underexplored.</w:t>
      </w:r>
    </w:p>
    <w:bookmarkEnd w:id="20"/>
    <w:bookmarkStart w:id="21" w:name="problem-statement"/>
    <w:p>
      <w:pPr>
        <w:pStyle w:val="Heading2"/>
      </w:pPr>
      <w:r>
        <w:t xml:space="preserve">2. Problem Statement</w:t>
      </w:r>
    </w:p>
    <w:p>
      <w:pPr>
        <w:pStyle w:val="FirstParagraph"/>
      </w:pPr>
      <w:r>
        <w:t xml:space="preserve">Kuala Lumpur serves as Malaysia's economic nerve center, hosting multinational corporations (MNCs), indigenous enterprises, and startups across finance, technology, and manufacturing sectors. Despite this diversity, HR Managers in the region grapple with systemic challenges including:</w:t>
      </w:r>
    </w:p>
    <w:p>
      <w:pPr>
        <w:numPr>
          <w:ilvl w:val="0"/>
          <w:numId w:val="1001"/>
        </w:numPr>
        <w:pStyle w:val="Compact"/>
      </w:pPr>
      <w:r>
        <w:t xml:space="preserve">Cultural fragmentation in a multi-ethnic society (Malay, Chinese, Indian) requiring nuanced engagement strategies</w:t>
      </w:r>
    </w:p>
    <w:p>
      <w:pPr>
        <w:numPr>
          <w:ilvl w:val="0"/>
          <w:numId w:val="1001"/>
        </w:numPr>
        <w:pStyle w:val="Compact"/>
      </w:pPr>
      <w:r>
        <w:t xml:space="preserve">Fluctuating labor laws under Malaysia's Industrial Relations Act and Employment Act 1955</w:t>
      </w:r>
    </w:p>
    <w:p>
      <w:pPr>
        <w:numPr>
          <w:ilvl w:val="0"/>
          <w:numId w:val="1001"/>
        </w:numPr>
        <w:pStyle w:val="Compact"/>
      </w:pPr>
      <w:r>
        <w:t xml:space="preserve">Accelerated digital transformation demanding new HR competencies (e.g., AI-driven talent analytics)</w:t>
      </w:r>
    </w:p>
    <w:p>
      <w:pPr>
        <w:numPr>
          <w:ilvl w:val="0"/>
          <w:numId w:val="1001"/>
        </w:numPr>
        <w:pStyle w:val="Compact"/>
      </w:pPr>
      <w:r>
        <w:t xml:space="preserve">Talent drain to Singapore and regional hubs due to competitive compensation structures</w:t>
      </w:r>
    </w:p>
    <w:p>
      <w:pPr>
        <w:pStyle w:val="FirstParagraph"/>
      </w:pPr>
      <w:r>
        <w:t xml:space="preserve">Current literature predominantly focuses on Western models, overlooking how local cultural intelligence and regulatory nuances shape effective HR leadership in</w:t>
      </w:r>
      <w:r>
        <w:t xml:space="preserve"> </w:t>
      </w:r>
      <w:r>
        <w:rPr>
          <w:bCs/>
          <w:b/>
        </w:rPr>
        <w:t xml:space="preserve">Malaysia Kuala Lumpur</w:t>
      </w:r>
      <w:r>
        <w:t xml:space="preserve">. This proposal contends that without contextually grounded HR strategies, organizations risk operational inefficiencies and strategic misalignment.</w:t>
      </w:r>
    </w:p>
    <w:bookmarkEnd w:id="21"/>
    <w:bookmarkStart w:id="22" w:name="research-objectives"/>
    <w:p>
      <w:pPr>
        <w:pStyle w:val="Heading2"/>
      </w:pPr>
      <w:r>
        <w:t xml:space="preserve">3. Research Objectives</w:t>
      </w:r>
    </w:p>
    <w:p>
      <w:pPr>
        <w:pStyle w:val="FirstParagraph"/>
      </w:pPr>
      <w:r>
        <w:t xml:space="preserve">The primary aim of this study is to develop a culturally adaptive framework for the</w:t>
      </w:r>
      <w:r>
        <w:t xml:space="preserve"> </w:t>
      </w:r>
      <w:r>
        <w:rPr>
          <w:bCs/>
          <w:b/>
        </w:rPr>
        <w:t xml:space="preserve">Human Resources Manager</w:t>
      </w:r>
      <w:r>
        <w:t xml:space="preserve"> </w:t>
      </w:r>
      <w:r>
        <w:t xml:space="preserve">role in Kuala Lumpur-based organizations. Specific objectives include:</w:t>
      </w:r>
    </w:p>
    <w:p>
      <w:pPr>
        <w:numPr>
          <w:ilvl w:val="0"/>
          <w:numId w:val="1002"/>
        </w:numPr>
        <w:pStyle w:val="Compact"/>
      </w:pPr>
      <w:r>
        <w:t xml:space="preserve">To analyze how Malaysian HR Managers reconcile national labor regulations with global best practices in talent management.</w:t>
      </w:r>
    </w:p>
    <w:p>
      <w:pPr>
        <w:numPr>
          <w:ilvl w:val="0"/>
          <w:numId w:val="1002"/>
        </w:numPr>
        <w:pStyle w:val="Compact"/>
      </w:pPr>
      <w:r>
        <w:t xml:space="preserve">To identify key competencies (e.g., cross-cultural communication, change agility) that distinguish high-performing HR leaders in Kuala Lumpur's competitive market.</w:t>
      </w:r>
    </w:p>
    <w:p>
      <w:pPr>
        <w:numPr>
          <w:ilvl w:val="0"/>
          <w:numId w:val="1002"/>
        </w:numPr>
        <w:pStyle w:val="Compact"/>
      </w:pPr>
      <w:r>
        <w:t xml:space="preserve">To assess the impact of digital HR technologies on strategic decision-making within Malaysian SMEs and MNC subsidiaries.</w:t>
      </w:r>
    </w:p>
    <w:p>
      <w:pPr>
        <w:numPr>
          <w:ilvl w:val="0"/>
          <w:numId w:val="1002"/>
        </w:numPr>
        <w:pStyle w:val="Compact"/>
      </w:pPr>
      <w:r>
        <w:t xml:space="preserve">To propose actionable recommendations for enhancing the strategic value of HR leadership in Malaysia's economic development trajectory.</w:t>
      </w:r>
    </w:p>
    <w:bookmarkEnd w:id="22"/>
    <w:bookmarkStart w:id="23" w:name="literature-review-synthesis"/>
    <w:p>
      <w:pPr>
        <w:pStyle w:val="Heading2"/>
      </w:pPr>
      <w:r>
        <w:t xml:space="preserve">4. Literature Review (Synthesis)</w:t>
      </w:r>
    </w:p>
    <w:p>
      <w:pPr>
        <w:pStyle w:val="FirstParagraph"/>
      </w:pPr>
      <w:r>
        <w:t xml:space="preserve">Existing scholarship reveals a paradigm shift in HRM from transactional to transformational roles globally. However, studies by Chee et al. (2019) on ASEAN HR practices highlight Malaysia's "cultural hybridity" as both an asset and challenge—HR Managers must balance hierarchical Malay traditions with Chinese business pragmatism and Indian individualism. Meanwhile, Rahman’s (2021) research on Kuala Lumpur MNCs underscores regulatory constraints: 78% of HR leaders cited labor law ambiguities as hindering agile workforce planning. Crucially, no study has examined how these factors intersect with the digital HR revolution in</w:t>
      </w:r>
      <w:r>
        <w:t xml:space="preserve"> </w:t>
      </w:r>
      <w:r>
        <w:rPr>
          <w:bCs/>
          <w:b/>
        </w:rPr>
        <w:t xml:space="preserve">Malaysia Kuala Lumpur</w:t>
      </w:r>
      <w:r>
        <w:t xml:space="preserve">'s specific ecosystem. This thesis bridges this gap by contextualizing global HR theories within Malaysia's unique socio-legal and technological landscape.</w:t>
      </w:r>
    </w:p>
    <w:bookmarkEnd w:id="23"/>
    <w:bookmarkStart w:id="24"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3"/>
        </w:numPr>
        <w:pStyle w:val="Compact"/>
      </w:pPr>
      <w:r>
        <w:rPr>
          <w:bCs/>
          <w:b/>
        </w:rPr>
        <w:t xml:space="preserve">Phase 1: Quantitative Survey</w:t>
      </w:r>
      <w:r>
        <w:t xml:space="preserve"> </w:t>
      </w:r>
      <w:r>
        <w:t xml:space="preserve">(N=300) targeting HR Managers across 50 KL-based firms (25 MNCs, 25 SMEs) using structured questionnaires measuring strategic alignment, technology adoption, and cultural intelligence.</w:t>
      </w:r>
    </w:p>
    <w:p>
      <w:pPr>
        <w:numPr>
          <w:ilvl w:val="0"/>
          <w:numId w:val="1003"/>
        </w:numPr>
        <w:pStyle w:val="Compact"/>
      </w:pPr>
      <w:r>
        <w:rPr>
          <w:bCs/>
          <w:b/>
        </w:rPr>
        <w:t xml:space="preserve">Phase 2: Qualitative Case Studies</w:t>
      </w:r>
      <w:r>
        <w:t xml:space="preserve"> </w:t>
      </w:r>
      <w:r>
        <w:t xml:space="preserve">(10 organizations) featuring in-depth interviews with HR Directors and C-suite executives to explore decision-making processes.</w:t>
      </w:r>
    </w:p>
    <w:p>
      <w:pPr>
        <w:numPr>
          <w:ilvl w:val="0"/>
          <w:numId w:val="1003"/>
        </w:numPr>
        <w:pStyle w:val="Compact"/>
      </w:pPr>
      <w:r>
        <w:rPr>
          <w:bCs/>
          <w:b/>
        </w:rPr>
        <w:t xml:space="preserve">Data Analysis:</w:t>
      </w:r>
      <w:r>
        <w:t xml:space="preserve"> </w:t>
      </w:r>
      <w:r>
        <w:t xml:space="preserve">Statistical analysis (SPSS) for quantitative data; thematic analysis (NVivo) for qualitative insights. All data collection will comply with Malaysia's Personal Data Protection Act 2010.</w:t>
      </w:r>
    </w:p>
    <w:p>
      <w:pPr>
        <w:pStyle w:val="FirstParagraph"/>
      </w:pPr>
      <w:r>
        <w:t xml:space="preserve">The sampling strategy ensures representation across sectors critical to Kuala Lumpur’s economy: banking, IT, manufacturing, and hospitality. Ethical approval will be sought from the University of Malaya’s Research Ethics Committee.</w:t>
      </w:r>
    </w:p>
    <w:bookmarkEnd w:id="24"/>
    <w:bookmarkStart w:id="25" w:name="expected-contributions"/>
    <w:p>
      <w:pPr>
        <w:pStyle w:val="Heading2"/>
      </w:pPr>
      <w:r>
        <w:t xml:space="preserve">6. Expected Contributions</w:t>
      </w:r>
    </w:p>
    <w:p>
      <w:pPr>
        <w:pStyle w:val="FirstParagraph"/>
      </w:pPr>
      <w:r>
        <w:t xml:space="preserve">This research offers threefold significance:</w:t>
      </w:r>
    </w:p>
    <w:p>
      <w:pPr>
        <w:numPr>
          <w:ilvl w:val="0"/>
          <w:numId w:val="1004"/>
        </w:numPr>
        <w:pStyle w:val="Compact"/>
      </w:pPr>
      <w:r>
        <w:rPr>
          <w:bCs/>
          <w:b/>
        </w:rPr>
        <w:t xml:space="preserve">Theoretical:</w:t>
      </w:r>
      <w:r>
        <w:t xml:space="preserve"> </w:t>
      </w:r>
      <w:r>
        <w:t xml:space="preserve">It advances HRM theory by developing a "Malaysian Cultural Contextual Model" (MCCM) for HR leadership, integrating Hofstede’s cultural dimensions with local regulatory dynamics.</w:t>
      </w:r>
    </w:p>
    <w:p>
      <w:pPr>
        <w:numPr>
          <w:ilvl w:val="0"/>
          <w:numId w:val="1004"/>
        </w:numPr>
        <w:pStyle w:val="Compact"/>
      </w:pPr>
      <w:r>
        <w:rPr>
          <w:bCs/>
          <w:b/>
        </w:rPr>
        <w:t xml:space="preserve">Practical:</w:t>
      </w:r>
      <w:r>
        <w:t xml:space="preserve"> </w:t>
      </w:r>
      <w:r>
        <w:t xml:space="preserve">The proposed framework will equip</w:t>
      </w:r>
      <w:r>
        <w:t xml:space="preserve"> </w:t>
      </w:r>
      <w:r>
        <w:rPr>
          <w:bCs/>
          <w:b/>
        </w:rPr>
        <w:t xml:space="preserve">Human Resources Manager</w:t>
      </w:r>
      <w:r>
        <w:t xml:space="preserve">s in</w:t>
      </w:r>
      <w:r>
        <w:t xml:space="preserve"> </w:t>
      </w:r>
      <w:r>
        <w:rPr>
          <w:bCs/>
          <w:b/>
        </w:rPr>
        <w:t xml:space="preserve">Malaysia Kuala Lumpur</w:t>
      </w:r>
      <w:r>
        <w:t xml:space="preserve"> </w:t>
      </w:r>
      <w:r>
        <w:t xml:space="preserve">with tools to enhance talent retention (e.g., culturally tailored performance systems) and navigate compliance risks.</w:t>
      </w:r>
    </w:p>
    <w:p>
      <w:pPr>
        <w:numPr>
          <w:ilvl w:val="0"/>
          <w:numId w:val="1004"/>
        </w:numPr>
        <w:pStyle w:val="Compact"/>
      </w:pPr>
      <w:r>
        <w:rPr>
          <w:bCs/>
          <w:b/>
        </w:rPr>
        <w:t xml:space="preserve">Societal:</w:t>
      </w:r>
      <w:r>
        <w:t xml:space="preserve"> </w:t>
      </w:r>
      <w:r>
        <w:t xml:space="preserve">By addressing Malaysia’s strategic need for skilled workforce development (aligned with the National Higher Education Fund Corporation's 2030 roadmap), this study supports national economic goals while reducing brain drain.</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Literature Review &amp; Instrument Design</w:t>
      </w:r>
    </w:p>
    <w:p>
      <w:pPr>
        <w:pStyle w:val="BodyText"/>
      </w:pPr>
      <w:r>
        <w:t xml:space="preserve">3</w:t>
      </w:r>
    </w:p>
    <w:p>
      <w:pPr>
        <w:pStyle w:val="BodyText"/>
      </w:pPr>
      <w:r>
        <w:t xml:space="preserve">Finalized research framework; ethical approval secured.</w:t>
      </w:r>
    </w:p>
    <w:p>
      <w:pPr>
        <w:pStyle w:val="BodyText"/>
      </w:pPr>
      <w:r>
        <w:t xml:space="preserve">Data Collection (Survey + Interviews)</w:t>
      </w:r>
    </w:p>
    <w:p>
      <w:pPr>
        <w:pStyle w:val="BodyText"/>
      </w:pPr>
      <w:r>
        <w:t xml:space="preserve">5</w:t>
      </w:r>
    </w:p>
    <w:p>
      <w:pPr>
        <w:pStyle w:val="BodyText"/>
      </w:pPr>
      <w:r>
        <w:t xml:space="preserve">&lt;</w:t>
      </w:r>
    </w:p>
    <w:p>
      <w:pPr>
        <w:pStyle w:val="BodyText"/>
      </w:pPr>
      <w:r>
        <w:t xml:space="preserve">300 survey responses; 10 case study interviews completed.</w:t>
      </w:r>
    </w:p>
    <w:p>
      <w:pPr>
        <w:pStyle w:val="BodyText"/>
      </w:pPr>
      <w:r>
        <w:t xml:space="preserve">Data Analysis &amp; Drafting</w:t>
      </w:r>
    </w:p>
    <w:p>
      <w:pPr>
        <w:pStyle w:val="BodyText"/>
      </w:pPr>
      <w:r>
        <w:t xml:space="preserve">4</w:t>
      </w:r>
    </w:p>
    <w:p>
      <w:pPr>
        <w:pStyle w:val="BodyText"/>
      </w:pPr>
      <w:r>
        <w:t xml:space="preserve">Draft of thesis chapters; preliminary findings validated.</w:t>
      </w:r>
    </w:p>
    <w:p>
      <w:pPr>
        <w:pStyle w:val="BodyText"/>
      </w:pPr>
      <w:r>
        <w:t xml:space="preserve">Finalization &amp; Submission</w:t>
      </w:r>
    </w:p>
    <w:p>
      <w:pPr>
        <w:pStyle w:val="BodyText"/>
      </w:pPr>
      <w:r>
        <w:t xml:space="preserve">2Complete thesis; defense preparation.</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Human Resources Manager</w:t>
      </w:r>
      <w:r>
        <w:t xml:space="preserve"> </w:t>
      </w:r>
      <w:r>
        <w:t xml:space="preserve">in</w:t>
      </w:r>
      <w:r>
        <w:t xml:space="preserve"> </w:t>
      </w:r>
      <w:r>
        <w:rPr>
          <w:bCs/>
          <w:b/>
        </w:rPr>
        <w:t xml:space="preserve">Malaysia Kuala Lumpur</w:t>
      </w:r>
      <w:r>
        <w:t xml:space="preserve">'s evolving economy is pivotal to national prosperity. This thesis proposal responds to an urgent need for evidence-based, culturally intelligent HR leadership models that transcend generic Western frameworks. By centering the research on Kuala Lumpur’s distinct socio-economic ecosystem—from its vibrant multicultural workforce to its regulatory environment—this study promises transformative insights for practitioners and policymakers alike. The anticipated framework will not only optimize organizational performance in Malaysia but also position</w:t>
      </w:r>
      <w:r>
        <w:t xml:space="preserve"> </w:t>
      </w:r>
      <w:r>
        <w:rPr>
          <w:bCs/>
          <w:b/>
        </w:rPr>
        <w:t xml:space="preserve">Malaysia Kuala Lumpur</w:t>
      </w:r>
      <w:r>
        <w:t xml:space="preserve"> </w:t>
      </w:r>
      <w:r>
        <w:t xml:space="preserve">as a regional benchmark for strategic human capital management in emerging economies. As the nation accelerates toward digitalization and sustainability goals, this research equips HR professionals to be catalysts of inclusive growth.</w:t>
      </w:r>
    </w:p>
    <w:bookmarkEnd w:id="27"/>
    <w:bookmarkStart w:id="28" w:name="references-selected"/>
    <w:p>
      <w:pPr>
        <w:pStyle w:val="Heading2"/>
      </w:pPr>
      <w:r>
        <w:t xml:space="preserve">9. References (Selected)</w:t>
      </w:r>
    </w:p>
    <w:p>
      <w:pPr>
        <w:numPr>
          <w:ilvl w:val="0"/>
          <w:numId w:val="1005"/>
        </w:numPr>
        <w:pStyle w:val="Compact"/>
      </w:pPr>
      <w:r>
        <w:t xml:space="preserve">Chee, C.S., et al. (2019). "Cultural Intelligence in ASEAN HR Practices." *Journal of International Business Studies*, 50(7), 1183–1204.</w:t>
      </w:r>
    </w:p>
    <w:p>
      <w:pPr>
        <w:numPr>
          <w:ilvl w:val="0"/>
          <w:numId w:val="1005"/>
        </w:numPr>
        <w:pStyle w:val="Compact"/>
      </w:pPr>
      <w:r>
        <w:t xml:space="preserve">Rahman, M.M. (2021). "Regulatory Challenges for HRM in Kuala Lumpur MNCs." *Malaysian Journal of Human Resource Management*, 8(2), 45–67.</w:t>
      </w:r>
    </w:p>
    <w:p>
      <w:pPr>
        <w:numPr>
          <w:ilvl w:val="0"/>
          <w:numId w:val="1005"/>
        </w:numPr>
        <w:pStyle w:val="Compact"/>
      </w:pPr>
      <w:r>
        <w:t xml:space="preserve">Ministry of Higher Education Malaysia. (2030). *National Higher Education Fund Corporation Strategic Plan*. Putrajaya: Government Press.</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Kuala Lumpur, Malaysia</dc:title>
  <dc:creator/>
  <dc:language>en</dc:language>
  <cp:keywords/>
  <dcterms:created xsi:type="dcterms:W3CDTF">2026-07-23T06:41:21Z</dcterms:created>
  <dcterms:modified xsi:type="dcterms:W3CDTF">2026-07-23T06:41:21Z</dcterms:modified>
</cp:coreProperties>
</file>

<file path=docProps/custom.xml><?xml version="1.0" encoding="utf-8"?>
<Properties xmlns="http://schemas.openxmlformats.org/officeDocument/2006/custom-properties" xmlns:vt="http://schemas.openxmlformats.org/officeDocument/2006/docPropsVTypes"/>
</file>