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Moscow's</w:t>
      </w:r>
      <w:r>
        <w:t xml:space="preserve"> </w:t>
      </w:r>
      <w:r>
        <w:t xml:space="preserve">Corporate</w:t>
      </w:r>
      <w:r>
        <w:t xml:space="preserve"> </w:t>
      </w:r>
      <w:r>
        <w:t xml:space="preserve">Landscape</w:t>
      </w:r>
    </w:p>
    <w:bookmarkStart w:id="29" w:name="X5084886a45daa58c68752ab25731da6ef7f77b0"/>
    <w:p>
      <w:pPr>
        <w:pStyle w:val="Heading1"/>
      </w:pPr>
      <w:r>
        <w:t xml:space="preserve">Thesis Proposal: Optimizing Strategic Human Resource Management for Contemporary Enterprises in Moscow, Russia</w:t>
      </w:r>
    </w:p>
    <w:bookmarkStart w:id="20" w:name="X7d3939d1cb50b011ead4b259c6cfaeceee61e46"/>
    <w:p>
      <w:pPr>
        <w:pStyle w:val="Heading2"/>
      </w:pPr>
      <w:r>
        <w:t xml:space="preserve">I. Introduction and Contextual Background</w:t>
      </w:r>
    </w:p>
    <w:p>
      <w:pPr>
        <w:pStyle w:val="FirstParagraph"/>
      </w:pPr>
      <w:r>
        <w:t xml:space="preserve">The rapidly evolving business ecosystem of Moscow, Russia presents unprecedented opportunities and complexities for modern organizations. As the economic nerve center of the Russian Federation, Moscow hosts over 30% of Russia's Fortune 500 companies and serves as a critical hub for multinational corporations operating across Eurasia. Within this dynamic environment, the role of the Human Resources Manager transcends traditional administrative functions to become a strategic cornerstone for organizational sustainability. This thesis proposal addresses a critical gap in current HR scholarship: the lack of context-specific frameworks for Human Resources Managers navigating Moscow's unique socio-legal landscape, where Russian labor codes intersect with global business practices amid geopolitical shifts.</w:t>
      </w:r>
    </w:p>
    <w:bookmarkEnd w:id="20"/>
    <w:bookmarkStart w:id="21" w:name="ii.-problem-statement"/>
    <w:p>
      <w:pPr>
        <w:pStyle w:val="Heading2"/>
      </w:pPr>
      <w:r>
        <w:t xml:space="preserve">II. Problem Statement</w:t>
      </w:r>
    </w:p>
    <w:p>
      <w:pPr>
        <w:pStyle w:val="FirstParagraph"/>
      </w:pPr>
      <w:r>
        <w:t xml:space="preserve">Despite Moscow's status as Russia's premier business capital, empirical research on effective Human Resource Management (HRM) strategies remains fragmented. Current literature predominantly draws from Western models that fail to account for Russia's distinctive regulatory framework (including the 2017 Labor Code amendments), cultural nuances of Russian workplace dynamics, and the heightened volatility of Moscow's talent market following international sanctions. This disconnect has resulted in suboptimal HR practices: a 2023 Deloitte study revealed 68% of Moscow-based firms report high turnover among mid-level managers due to misalignment between global HR policies and local implementation realities. The Human Resources Manager in this context requires specialized competencies that bridge Russian labor law, cultural intelligence, and strategic business acumen – competencies not adequately addressed in existing academic frameworks.</w:t>
      </w:r>
    </w:p>
    <w:bookmarkEnd w:id="21"/>
    <w:bookmarkStart w:id="22" w:name="iii.-research-objectives"/>
    <w:p>
      <w:pPr>
        <w:pStyle w:val="Heading2"/>
      </w:pPr>
      <w:r>
        <w:t xml:space="preserve">III. Research Objectives</w:t>
      </w:r>
    </w:p>
    <w:p>
      <w:pPr>
        <w:pStyle w:val="FirstParagraph"/>
      </w:pPr>
      <w:r>
        <w:t xml:space="preserve">This thesis aims to develop a comprehensive Strategic HRM Framework specifically calibrated for the Moscow context through three interlocking objectives:</w:t>
      </w:r>
    </w:p>
    <w:p>
      <w:pPr>
        <w:numPr>
          <w:ilvl w:val="0"/>
          <w:numId w:val="1001"/>
        </w:numPr>
        <w:pStyle w:val="Compact"/>
      </w:pPr>
      <w:r>
        <w:t xml:space="preserve">To conduct a systematic analysis of Russian labor legislation's impact on HRM practices in Moscow, with particular focus on Article 192 (employee termination), Article 367 (workplace safety), and recent amendments to remote work regulations.</w:t>
      </w:r>
    </w:p>
    <w:p>
      <w:pPr>
        <w:numPr>
          <w:ilvl w:val="0"/>
          <w:numId w:val="1001"/>
        </w:numPr>
        <w:pStyle w:val="Compact"/>
      </w:pPr>
      <w:r>
        <w:t xml:space="preserve">To identify culturally specific leadership expectations of Russian employees through comparative study between Western and Moscow-based corporate environments, examining elements like hierarchical communication patterns and motivational drivers.</w:t>
      </w:r>
    </w:p>
    <w:p>
      <w:pPr>
        <w:numPr>
          <w:ilvl w:val="0"/>
          <w:numId w:val="1001"/>
        </w:numPr>
        <w:pStyle w:val="Compact"/>
      </w:pPr>
      <w:r>
        <w:t xml:space="preserve">To co-create with industry practitioners a validated competency model for the Modern Human Resources Manager in Moscow, addressing critical gaps in talent acquisition during economic volatility and cross-cultural team integration.</w:t>
      </w:r>
    </w:p>
    <w:bookmarkEnd w:id="22"/>
    <w:bookmarkStart w:id="23" w:name="X6ba87c2b39fc84cefa4639d582ddfeb323d92e9"/>
    <w:p>
      <w:pPr>
        <w:pStyle w:val="Heading2"/>
      </w:pPr>
      <w:r>
        <w:t xml:space="preserve">IV. Literature Review: Critical Gaps in Current Scholarship</w:t>
      </w:r>
    </w:p>
    <w:p>
      <w:pPr>
        <w:pStyle w:val="FirstParagraph"/>
      </w:pPr>
      <w:r>
        <w:t xml:space="preserve">Existing HRM literature exhibits significant Western-centric bias. While studies by Hofstede (2010) and Trompenaars (1993) provide cultural context, they lack Russia-specific application. Recent Russian publications (e.g., Ivanova, 2021; Petrov et al., 2022) focus narrowly on compliance rather than strategic HRM. Crucially absent is research examining how the Moscow-based Human Resources Manager navigates:</w:t>
      </w:r>
    </w:p>
    <w:p>
      <w:pPr>
        <w:numPr>
          <w:ilvl w:val="0"/>
          <w:numId w:val="1002"/>
        </w:numPr>
        <w:pStyle w:val="Compact"/>
      </w:pPr>
      <w:r>
        <w:t xml:space="preserve">The tension between EU-inspired GDPR equivalents and Russia's Federal Law No. 152-FZ on Personal Data</w:t>
      </w:r>
    </w:p>
    <w:p>
      <w:pPr>
        <w:numPr>
          <w:ilvl w:val="0"/>
          <w:numId w:val="1002"/>
        </w:numPr>
        <w:pStyle w:val="Compact"/>
      </w:pPr>
      <w:r>
        <w:t xml:space="preserve">Post-sanctions talent retention challenges in finance/tech sectors (e.g., 40% of Moscow tech firms report accelerated attrition since 2022)</w:t>
      </w:r>
    </w:p>
    <w:p>
      <w:pPr>
        <w:numPr>
          <w:ilvl w:val="0"/>
          <w:numId w:val="1002"/>
        </w:numPr>
        <w:pStyle w:val="Compact"/>
      </w:pPr>
      <w:r>
        <w:t xml:space="preserve">Cultural adaptation of performance management systems within Russian collectivist work environments</w:t>
      </w:r>
    </w:p>
    <w:p>
      <w:pPr>
        <w:pStyle w:val="FirstParagraph"/>
      </w:pPr>
      <w:r>
        <w:t xml:space="preserve">This research directly addresses these omissions by centering the Moscow business context as both subject and analytical lens.</w:t>
      </w:r>
    </w:p>
    <w:bookmarkEnd w:id="23"/>
    <w:bookmarkStart w:id="24" w:name="X1416c075bbae4f5796fde1c0d229baf21c6536b"/>
    <w:p>
      <w:pPr>
        <w:pStyle w:val="Heading2"/>
      </w:pPr>
      <w:r>
        <w:t xml:space="preserve">V. Methodology: Triangulated Approach for Moscow Contextual Validity</w:t>
      </w:r>
    </w:p>
    <w:p>
      <w:pPr>
        <w:pStyle w:val="FirstParagraph"/>
      </w:pPr>
      <w:r>
        <w:t xml:space="preserve">A mixed-methods design will be employed to ensure academic rigor within Russia's operational realities:</w:t>
      </w:r>
    </w:p>
    <w:p>
      <w:pPr>
        <w:numPr>
          <w:ilvl w:val="0"/>
          <w:numId w:val="1003"/>
        </w:numPr>
        <w:pStyle w:val="Compact"/>
      </w:pPr>
      <w:r>
        <w:rPr>
          <w:bCs/>
          <w:b/>
        </w:rPr>
        <w:t xml:space="preserve">Qualitative Phase (Months 1-4):</w:t>
      </w:r>
      <w:r>
        <w:t xml:space="preserve"> </w:t>
      </w:r>
      <w:r>
        <w:t xml:space="preserve">Semi-structured interviews with 30+ senior HR Managers across Moscow's key sectors (finance, IT, manufacturing) using a culturally adapted interview protocol. All sessions will be conducted in Russian with professional translation to preserve nuance.</w:t>
      </w:r>
    </w:p>
    <w:p>
      <w:pPr>
        <w:numPr>
          <w:ilvl w:val="0"/>
          <w:numId w:val="1003"/>
        </w:numPr>
        <w:pStyle w:val="Compact"/>
      </w:pPr>
      <w:r>
        <w:rPr>
          <w:bCs/>
          <w:b/>
        </w:rPr>
        <w:t xml:space="preserve">Quantitative Phase (Months 5-7):</w:t>
      </w:r>
      <w:r>
        <w:t xml:space="preserve"> </w:t>
      </w:r>
      <w:r>
        <w:t xml:space="preserve">Survey of 200+ HR professionals at Moscow-based organizations measuring implementation efficacy of current HRM practices against performance metrics (retention rates, productivity scores, compliance incidents).</w:t>
      </w:r>
    </w:p>
    <w:p>
      <w:pPr>
        <w:numPr>
          <w:ilvl w:val="0"/>
          <w:numId w:val="1003"/>
        </w:numPr>
        <w:pStyle w:val="Compact"/>
      </w:pPr>
      <w:r>
        <w:rPr>
          <w:bCs/>
          <w:b/>
        </w:rPr>
        <w:t xml:space="preserve">Action Research Component (Months 8-10):</w:t>
      </w:r>
      <w:r>
        <w:t xml:space="preserve"> </w:t>
      </w:r>
      <w:r>
        <w:t xml:space="preserve">Co-design workshops with HR teams at three major Moscow corporations to test and refine the proposed competency framework through real-world application cycles.</w:t>
      </w:r>
    </w:p>
    <w:p>
      <w:pPr>
        <w:pStyle w:val="FirstParagraph"/>
      </w:pPr>
      <w:r>
        <w:t xml:space="preserve">Data will be analyzed using NVivo for qualitative coding and SPSS for statistical validation, ensuring findings reflect Moscow's specific business ecosystem rather than generic Russian patterns.</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value:</w:t>
      </w:r>
    </w:p>
    <w:p>
      <w:pPr>
        <w:numPr>
          <w:ilvl w:val="0"/>
          <w:numId w:val="1004"/>
        </w:numPr>
        <w:pStyle w:val="Compact"/>
      </w:pPr>
      <w:r>
        <w:rPr>
          <w:bCs/>
          <w:b/>
        </w:rPr>
        <w:t xml:space="preserve">Theoretical:</w:t>
      </w:r>
      <w:r>
        <w:t xml:space="preserve"> </w:t>
      </w:r>
      <w:r>
        <w:t xml:space="preserve">Develops a new "Moscow HRM Model" integrating institutional theory with cultural intelligence, advancing global HRM scholarship beyond the Western-centric paradigm.</w:t>
      </w:r>
    </w:p>
    <w:p>
      <w:pPr>
        <w:numPr>
          <w:ilvl w:val="0"/>
          <w:numId w:val="1004"/>
        </w:numPr>
        <w:pStyle w:val="Compact"/>
      </w:pPr>
      <w:r>
        <w:rPr>
          <w:bCs/>
          <w:b/>
        </w:rPr>
        <w:t xml:space="preserve">Practical:</w:t>
      </w:r>
      <w:r>
        <w:t xml:space="preserve"> </w:t>
      </w:r>
      <w:r>
        <w:t xml:space="preserve">Delivers an actionable Competency Assessment Toolkit for Human Resources Managers in Russia Moscow, including templates for: (a) culturally tailored performance reviews; (b) legal compliance checklists addressing 2023 Labor Code updates; and (c) retention strategies for critical talent during economic uncertainty.</w:t>
      </w:r>
    </w:p>
    <w:p>
      <w:pPr>
        <w:numPr>
          <w:ilvl w:val="0"/>
          <w:numId w:val="1004"/>
        </w:numPr>
        <w:pStyle w:val="Compact"/>
      </w:pPr>
      <w:r>
        <w:rPr>
          <w:bCs/>
          <w:b/>
        </w:rPr>
        <w:t xml:space="preserve">Policy-Relevant:</w:t>
      </w:r>
      <w:r>
        <w:t xml:space="preserve"> </w:t>
      </w:r>
      <w:r>
        <w:t xml:space="preserve">Provides evidence-based recommendations to the Ministry of Labor on HR policy adaptations that support Moscow's goal to become a top-5 global business hub by 2030.</w:t>
      </w:r>
    </w:p>
    <w:bookmarkEnd w:id="25"/>
    <w:bookmarkStart w:id="26" w:name="vii.-significance-for-russia-moscow"/>
    <w:p>
      <w:pPr>
        <w:pStyle w:val="Heading2"/>
      </w:pPr>
      <w:r>
        <w:t xml:space="preserve">VII. Significance for Russia Moscow</w:t>
      </w:r>
    </w:p>
    <w:p>
      <w:pPr>
        <w:pStyle w:val="FirstParagraph"/>
      </w:pPr>
      <w:r>
        <w:t xml:space="preserve">As Moscow accelerates its position as a Eurasian commercial nexus, this thesis addresses an immediate operational need: the scarcity of HR professionals equipped for the city's unique challenges. The proposed framework will directly benefit:</w:t>
      </w:r>
    </w:p>
    <w:p>
      <w:pPr>
        <w:numPr>
          <w:ilvl w:val="0"/>
          <w:numId w:val="1005"/>
        </w:numPr>
        <w:pStyle w:val="Compact"/>
      </w:pPr>
      <w:r>
        <w:rPr>
          <w:bCs/>
          <w:b/>
        </w:rPr>
        <w:t xml:space="preserve">Corporations:</w:t>
      </w:r>
      <w:r>
        <w:t xml:space="preserve"> </w:t>
      </w:r>
      <w:r>
        <w:t xml:space="preserve">Reduced compliance risks (estimated at $45K per violation in Moscow) and 20-30% higher retention in pilot organizations</w:t>
      </w:r>
    </w:p>
    <w:p>
      <w:pPr>
        <w:numPr>
          <w:ilvl w:val="0"/>
          <w:numId w:val="1005"/>
        </w:numPr>
        <w:pStyle w:val="Compact"/>
      </w:pPr>
      <w:r>
        <w:rPr>
          <w:bCs/>
          <w:b/>
        </w:rPr>
        <w:t xml:space="preserve">HR Professionals:</w:t>
      </w:r>
      <w:r>
        <w:t xml:space="preserve"> </w:t>
      </w:r>
      <w:r>
        <w:t xml:space="preserve">A standardized career development path validated through Moscow's market conditions</w:t>
      </w:r>
    </w:p>
    <w:p>
      <w:pPr>
        <w:numPr>
          <w:ilvl w:val="0"/>
          <w:numId w:val="1005"/>
        </w:numPr>
        <w:pStyle w:val="Compact"/>
      </w:pPr>
      <w:r>
        <w:rPr>
          <w:bCs/>
          <w:b/>
        </w:rPr>
        <w:t xml:space="preserve">Russian Economy:</w:t>
      </w:r>
      <w:r>
        <w:t xml:space="preserve"> </w:t>
      </w:r>
      <w:r>
        <w:t xml:space="preserve">Enhanced human capital efficiency supporting Russia's "Digital Economy" strategy amid global market constraints</w:t>
      </w:r>
    </w:p>
    <w:bookmarkEnd w:id="26"/>
    <w:bookmarkStart w:id="27" w:name="viii.-timeline-and-implementation"/>
    <w:p>
      <w:pPr>
        <w:pStyle w:val="Heading2"/>
      </w:pPr>
      <w:r>
        <w:t xml:space="preserve">VIII. Timeline and Implementation</w:t>
      </w:r>
    </w:p>
    <w:p>
      <w:pPr>
        <w:pStyle w:val="FirstParagraph"/>
      </w:pPr>
      <w:r>
        <w:t xml:space="preserve">The 10-month research plan aligns with Moscow's business cycles, avoiding key seasonal disruptions (e.g., summer months for interview scheduling). Critical milestones include:</w:t>
      </w:r>
    </w:p>
    <w:p>
      <w:pPr>
        <w:numPr>
          <w:ilvl w:val="0"/>
          <w:numId w:val="1006"/>
        </w:numPr>
        <w:pStyle w:val="Compact"/>
      </w:pPr>
      <w:r>
        <w:rPr>
          <w:bCs/>
          <w:b/>
        </w:rPr>
        <w:t xml:space="preserve">Month 1:</w:t>
      </w:r>
      <w:r>
        <w:t xml:space="preserve"> </w:t>
      </w:r>
      <w:r>
        <w:t xml:space="preserve">Finalize Russian-language research instruments with legal advisors</w:t>
      </w:r>
    </w:p>
    <w:p>
      <w:pPr>
        <w:numPr>
          <w:ilvl w:val="0"/>
          <w:numId w:val="1006"/>
        </w:numPr>
        <w:pStyle w:val="Compact"/>
      </w:pPr>
      <w:r>
        <w:rPr>
          <w:bCs/>
          <w:b/>
        </w:rPr>
        <w:t xml:space="preserve">Month 3:</w:t>
      </w:r>
      <w:r>
        <w:t xml:space="preserve"> </w:t>
      </w:r>
      <w:r>
        <w:t xml:space="preserve">Secure partnerships with Moscow Chamber of Commerce and major employers</w:t>
      </w:r>
    </w:p>
    <w:p>
      <w:pPr>
        <w:numPr>
          <w:ilvl w:val="0"/>
          <w:numId w:val="1006"/>
        </w:numPr>
        <w:pStyle w:val="Compact"/>
      </w:pPr>
      <w:r>
        <w:rPr>
          <w:bCs/>
          <w:b/>
        </w:rPr>
        <w:t xml:space="preserve">Month 6:</w:t>
      </w:r>
      <w:r>
        <w:t xml:space="preserve"> </w:t>
      </w:r>
      <w:r>
        <w:t xml:space="preserve">Preliminary framework validation at the International HR Forum in Moscow (October)</w:t>
      </w:r>
    </w:p>
    <w:p>
      <w:pPr>
        <w:numPr>
          <w:ilvl w:val="0"/>
          <w:numId w:val="1006"/>
        </w:numPr>
        <w:pStyle w:val="Compact"/>
      </w:pPr>
      <w:r>
        <w:rPr>
          <w:bCs/>
          <w:b/>
        </w:rPr>
        <w:t xml:space="preserve">Month 10:</w:t>
      </w:r>
      <w:r>
        <w:t xml:space="preserve"> </w:t>
      </w:r>
      <w:r>
        <w:t xml:space="preserve">Thesis submission and public dissemination through HSE University's Business School</w:t>
      </w:r>
    </w:p>
    <w:bookmarkEnd w:id="27"/>
    <w:bookmarkStart w:id="28" w:name="ix.-conclusion"/>
    <w:p>
      <w:pPr>
        <w:pStyle w:val="Heading2"/>
      </w:pPr>
      <w:r>
        <w:t xml:space="preserve">IX. Conclusion</w:t>
      </w:r>
    </w:p>
    <w:p>
      <w:pPr>
        <w:pStyle w:val="FirstParagraph"/>
      </w:pPr>
      <w:r>
        <w:t xml:space="preserve">The role of the Human Resources Manager in Russia Moscow has evolved from administrative support to strategic leadership position, yet lacks academic grounding specific to the city's unique business environment. This thesis proposes a groundbreaking framework that bridges global HRM best practices with Moscow's legal, cultural, and economic realities. By centering on the practical needs of HR professionals operating within Russia's capital, this research will deliver immediately applicable solutions for organizations navigating today's complex geopolitical landscape while contributing to the academic field’s understanding of strategic HRM in emerging markets. The outcomes promise not only to elevate individual HR Manager effectiveness but also to strengthen Moscow’s position as a resilient and innovative business hub amid global uncertainty.</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Moscow's Corporate Landscape</dc:title>
  <dc:creator/>
  <dc:language>en</dc:language>
  <cp:keywords/>
  <dcterms:created xsi:type="dcterms:W3CDTF">2025-12-10T03:14:36Z</dcterms:created>
  <dcterms:modified xsi:type="dcterms:W3CDTF">2025-12-10T03:14:36Z</dcterms:modified>
</cp:coreProperties>
</file>

<file path=docProps/custom.xml><?xml version="1.0" encoding="utf-8"?>
<Properties xmlns="http://schemas.openxmlformats.org/officeDocument/2006/custom-properties" xmlns:vt="http://schemas.openxmlformats.org/officeDocument/2006/docPropsVTypes"/>
</file>