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Australia</w:t>
      </w:r>
      <w:r>
        <w:t xml:space="preserve"> </w:t>
      </w:r>
      <w:r>
        <w:t xml:space="preserve">Brisbane</w:t>
      </w:r>
    </w:p>
    <w:bookmarkStart w:id="28" w:name="X5e95986f0526b07f2836aa2b9ed5e527fb605be"/>
    <w:p>
      <w:pPr>
        <w:pStyle w:val="Heading1"/>
      </w:pPr>
      <w:r>
        <w:t xml:space="preserve">Thesis Proposal: The Evolving Role of the Judge in Modern Justice Delivery within Australia Brisbane Context</w:t>
      </w:r>
    </w:p>
    <w:bookmarkStart w:id="20" w:name="introduction"/>
    <w:p>
      <w:pPr>
        <w:pStyle w:val="Heading2"/>
      </w:pPr>
      <w:r>
        <w:t xml:space="preserve">Introduction</w:t>
      </w:r>
    </w:p>
    <w:p>
      <w:pPr>
        <w:pStyle w:val="FirstParagraph"/>
      </w:pPr>
      <w:r>
        <w:t xml:space="preserve">The judiciary serves as the cornerstone of democratic governance, ensuring justice is administered fairly and impartially. In Australia, this principle is enshrined within a system that balances common law traditions with contemporary societal needs. This Thesis Proposal examines the pivotal role of the</w:t>
      </w:r>
      <w:r>
        <w:t xml:space="preserve"> </w:t>
      </w:r>
      <w:r>
        <w:rPr>
          <w:bCs/>
          <w:b/>
        </w:rPr>
        <w:t xml:space="preserve">Judge</w:t>
      </w:r>
      <w:r>
        <w:t xml:space="preserve"> </w:t>
      </w:r>
      <w:r>
        <w:t xml:space="preserve">within Brisbane’s courts—Australia's third-largest city and Queensland's judicial heart—and interrogates how evolving legal landscapes challenge traditional judicial functions. With Brisbane’s population surpassing 2.6 million and its courts processing over 150,000 cases annually (Queensland Courts, 2023), understanding the</w:t>
      </w:r>
      <w:r>
        <w:t xml:space="preserve"> </w:t>
      </w:r>
      <w:r>
        <w:rPr>
          <w:bCs/>
          <w:b/>
        </w:rPr>
        <w:t xml:space="preserve">Judge</w:t>
      </w:r>
      <w:r>
        <w:t xml:space="preserve">'s operational environment is critical for judicial reform in</w:t>
      </w:r>
      <w:r>
        <w:t xml:space="preserve"> </w:t>
      </w:r>
      <w:r>
        <w:rPr>
          <w:bCs/>
          <w:b/>
        </w:rPr>
        <w:t xml:space="preserve">Australia Brisbane</w:t>
      </w:r>
      <w:r>
        <w:t xml:space="preserve">. This research addresses a significant gap: while national studies exist on judicial conduct, few focus on the unique pressures faced by magistrates and judges operating in a rapidly diversifying urban legal ecosystem like Brisbane. The central question guiding this study is:</w:t>
      </w:r>
      <w:r>
        <w:t xml:space="preserve"> </w:t>
      </w:r>
      <w:r>
        <w:rPr>
          <w:iCs/>
          <w:i/>
        </w:rPr>
        <w:t xml:space="preserve">How do contextual factors specific to Australia Brisbane shape the decision-making autonomy, workload management, and perceived legitimacy of the modern Judge?</w:t>
      </w:r>
    </w:p>
    <w:bookmarkEnd w:id="20"/>
    <w:bookmarkStart w:id="21" w:name="literature-review"/>
    <w:p>
      <w:pPr>
        <w:pStyle w:val="Heading2"/>
      </w:pPr>
      <w:r>
        <w:t xml:space="preserve">Literature Review</w:t>
      </w:r>
    </w:p>
    <w:p>
      <w:pPr>
        <w:pStyle w:val="FirstParagraph"/>
      </w:pPr>
      <w:r>
        <w:t xml:space="preserve">Existing scholarship on judicial roles in Australia predominantly analyzes federal courts (e.g., Mason, 1997) or rural jurisdictions (Hudson &amp; Smith, 2018), neglecting metropolitan dynamics. Recent works by Lee (2020) on judicial diversity note Queensland’s judiciary remains 75% male and culturally homogeneous—contrasting sharply with Brisbane’s demographic reality where over 45% of residents were born overseas. This disconnect raises questions about whether the</w:t>
      </w:r>
      <w:r>
        <w:t xml:space="preserve"> </w:t>
      </w:r>
      <w:r>
        <w:rPr>
          <w:bCs/>
          <w:b/>
        </w:rPr>
        <w:t xml:space="preserve">Judge</w:t>
      </w:r>
      <w:r>
        <w:t xml:space="preserve"> </w:t>
      </w:r>
      <w:r>
        <w:t xml:space="preserve">in</w:t>
      </w:r>
      <w:r>
        <w:t xml:space="preserve"> </w:t>
      </w:r>
      <w:r>
        <w:rPr>
          <w:bCs/>
          <w:b/>
        </w:rPr>
        <w:t xml:space="preserve">Australia Brisbane</w:t>
      </w:r>
      <w:r>
        <w:t xml:space="preserve"> </w:t>
      </w:r>
      <w:r>
        <w:t xml:space="preserve">can authentically engage with diverse communities. Concurrently, technological shifts (e.g., virtual hearings post-pandemic) have intensified judicial workload; Brisbane Magistrates’ Court reported a 32% backlog in 2022 (Queensland Government, 2023). While research by Thompson (2019) discusses digital justice nationally, it overlooks how Brisbane’s spatial constraints—such as the need to traverse multiple court centers across the city—affect judicial efficiency. This thesis will bridge these gaps by grounding analysis in Brisbane’s specific socio-legal terrain.</w:t>
      </w:r>
    </w:p>
    <w:bookmarkEnd w:id="21"/>
    <w:bookmarkStart w:id="22" w:name="research-objectives-and-questions"/>
    <w:p>
      <w:pPr>
        <w:pStyle w:val="Heading2"/>
      </w:pPr>
      <w:r>
        <w:t xml:space="preserve">Research Objectives and Questions</w:t>
      </w:r>
    </w:p>
    <w:p>
      <w:pPr>
        <w:pStyle w:val="FirstParagraph"/>
      </w:pPr>
      <w:r>
        <w:t xml:space="preserve">This study pursues three interconnected objectives within</w:t>
      </w:r>
      <w:r>
        <w:t xml:space="preserve"> </w:t>
      </w:r>
      <w:r>
        <w:rPr>
          <w:bCs/>
          <w:b/>
        </w:rPr>
        <w:t xml:space="preserve">Australia Brisbane</w:t>
      </w:r>
      <w:r>
        <w:t xml:space="preserve">:</w:t>
      </w:r>
    </w:p>
    <w:p>
      <w:pPr>
        <w:numPr>
          <w:ilvl w:val="0"/>
          <w:numId w:val="1001"/>
        </w:numPr>
        <w:pStyle w:val="Compact"/>
      </w:pPr>
      <w:r>
        <w:t xml:space="preserve">To map the institutional, demographic, and operational variables uniquely influencing judges in Brisbane courts (e.g., high volume of family law cases involving culturally diverse families).</w:t>
      </w:r>
    </w:p>
    <w:p>
      <w:pPr>
        <w:numPr>
          <w:ilvl w:val="0"/>
          <w:numId w:val="1001"/>
        </w:numPr>
        <w:pStyle w:val="Compact"/>
      </w:pPr>
      <w:r>
        <w:t xml:space="preserve">To analyze how judicial decision-making adapts to community expectations in a multicultural setting like Brisbane, contrasting with homogeneous regional jurisdictions.</w:t>
      </w:r>
    </w:p>
    <w:p>
      <w:pPr>
        <w:numPr>
          <w:ilvl w:val="0"/>
          <w:numId w:val="1001"/>
        </w:numPr>
        <w:pStyle w:val="Compact"/>
      </w:pPr>
      <w:r>
        <w:t xml:space="preserve">To evaluate whether current judicial training programs adequately prepare the</w:t>
      </w:r>
      <w:r>
        <w:t xml:space="preserve"> </w:t>
      </w:r>
      <w:r>
        <w:rPr>
          <w:bCs/>
          <w:b/>
        </w:rPr>
        <w:t xml:space="preserve">Judge</w:t>
      </w:r>
      <w:r>
        <w:t xml:space="preserve"> </w:t>
      </w:r>
      <w:r>
        <w:t xml:space="preserve">for the complexities of urban justice delivery in Australia’s evolving social fabric.</w:t>
      </w:r>
    </w:p>
    <w:p>
      <w:pPr>
        <w:pStyle w:val="FirstParagraph"/>
      </w:pPr>
      <w:r>
        <w:t xml:space="preserve">The primary research questions are:</w:t>
      </w:r>
    </w:p>
    <w:p>
      <w:pPr>
        <w:numPr>
          <w:ilvl w:val="0"/>
          <w:numId w:val="1002"/>
        </w:numPr>
        <w:pStyle w:val="Compact"/>
      </w:pPr>
      <w:r>
        <w:rPr>
          <w:iCs/>
          <w:i/>
        </w:rPr>
        <w:t xml:space="preserve">How do Brisbane-based judges navigate tensions between legal precedent and culturally nuanced community needs in high-stakes cases?</w:t>
      </w:r>
    </w:p>
    <w:p>
      <w:pPr>
        <w:numPr>
          <w:ilvl w:val="0"/>
          <w:numId w:val="1002"/>
        </w:numPr>
        <w:pStyle w:val="Compact"/>
      </w:pPr>
      <w:r>
        <w:rPr>
          <w:iCs/>
          <w:i/>
        </w:rPr>
        <w:t xml:space="preserve">To what extent does Brisbane’s geographic sprawl and caseload density compromise judicial independence compared to national benchmarks?</w:t>
      </w:r>
    </w:p>
    <w:p>
      <w:pPr>
        <w:numPr>
          <w:ilvl w:val="0"/>
          <w:numId w:val="1002"/>
        </w:numPr>
        <w:pStyle w:val="Compact"/>
      </w:pPr>
      <w:r>
        <w:rPr>
          <w:iCs/>
          <w:i/>
        </w:rPr>
        <w:t xml:space="preserve">Does the representation of the</w:t>
      </w:r>
      <w:r>
        <w:rPr>
          <w:iCs/>
          <w:i/>
        </w:rPr>
        <w:t xml:space="preserve"> </w:t>
      </w:r>
      <w:r>
        <w:rPr>
          <w:bCs/>
          <w:b/>
          <w:iCs/>
          <w:i/>
        </w:rPr>
        <w:t xml:space="preserve">Judge</w:t>
      </w:r>
      <w:r>
        <w:rPr>
          <w:iCs/>
          <w:i/>
        </w:rPr>
        <w:t xml:space="preserve"> </w:t>
      </w:r>
      <w:r>
        <w:rPr>
          <w:iCs/>
          <w:i/>
        </w:rPr>
        <w:t xml:space="preserve">in Brisbane courts correlate with public trust metrics across different demographic groups?</w:t>
      </w:r>
    </w:p>
    <w:bookmarkEnd w:id="22"/>
    <w:bookmarkStart w:id="23" w:name="methodology"/>
    <w:p>
      <w:pPr>
        <w:pStyle w:val="Heading2"/>
      </w:pPr>
      <w:r>
        <w:t xml:space="preserve">Methodology</w:t>
      </w:r>
    </w:p>
    <w:p>
      <w:pPr>
        <w:pStyle w:val="FirstParagraph"/>
      </w:pPr>
      <w:r>
        <w:t xml:space="preserve">A mixed-methods approach will be employed, prioritizing contextual depth within</w:t>
      </w:r>
      <w:r>
        <w:t xml:space="preserve"> </w:t>
      </w:r>
      <w:r>
        <w:rPr>
          <w:bCs/>
          <w:b/>
        </w:rPr>
        <w:t xml:space="preserve">Australia Brisbane</w:t>
      </w:r>
      <w:r>
        <w:t xml:space="preserve">. Phase 1 involves quantitative analysis of 5 years (2019-2023) of Queensland Courts’ public datasets—focusing on case types, disposal rates, and demographic correlations in Brisbane courts. Phase 2 conducts semi-structured interviews with 30+ judges from Brisbane Magistrates' Court, District Court, and Supreme Court (including diverse genders and ethnicities), using grounded theory to identify emergent themes around judicial challenges. Crucially, this study will incorporate a novel "judicial journey mapping" technique: tracking one judge’s caseload over six months to observe real-time decision-making pressures. Phase 3 involves focus groups with 150+ Brisbane community members (stratified by ethnicity, age, and legal experience) to assess perceptions of judicial legitimacy. Ethical approval will be sought through the University of Queensland Human Research Ethics Committee, ensuring participant anonymity given the sensitivity around judicial conduct.</w:t>
      </w:r>
    </w:p>
    <w:bookmarkEnd w:id="23"/>
    <w:bookmarkStart w:id="24" w:name="expected-outcomes-and-significance"/>
    <w:p>
      <w:pPr>
        <w:pStyle w:val="Heading2"/>
      </w:pPr>
      <w:r>
        <w:t xml:space="preserve">Expected Outcomes and Significance</w:t>
      </w:r>
    </w:p>
    <w:p>
      <w:pPr>
        <w:pStyle w:val="FirstParagraph"/>
      </w:pPr>
      <w:r>
        <w:t xml:space="preserve">This research anticipates three transformative outcomes for the Brisbane legal ecosystem:</w:t>
      </w:r>
    </w:p>
    <w:p>
      <w:pPr>
        <w:numPr>
          <w:ilvl w:val="0"/>
          <w:numId w:val="1003"/>
        </w:numPr>
        <w:pStyle w:val="Compact"/>
      </w:pPr>
      <w:r>
        <w:rPr>
          <w:bCs/>
          <w:b/>
        </w:rPr>
        <w:t xml:space="preserve">Policy Recommendations:</w:t>
      </w:r>
      <w:r>
        <w:t xml:space="preserve"> </w:t>
      </w:r>
      <w:r>
        <w:t xml:space="preserve">A framework for Queensland Courts to adapt judicial training, particularly on cultural competency and tech-enabled workflows, directly addressing Brisbane’s unique needs.</w:t>
      </w:r>
    </w:p>
    <w:p>
      <w:pPr>
        <w:numPr>
          <w:ilvl w:val="0"/>
          <w:numId w:val="1003"/>
        </w:numPr>
        <w:pStyle w:val="Compact"/>
      </w:pPr>
      <w:r>
        <w:rPr>
          <w:bCs/>
          <w:b/>
        </w:rPr>
        <w:t xml:space="preserve">Legitimacy Enhancement:</w:t>
      </w:r>
      <w:r>
        <w:t xml:space="preserve"> </w:t>
      </w:r>
      <w:r>
        <w:t xml:space="preserve">Evidence demonstrating how judiciary representation (e.g., more Indigenous or non-English-speaking judges) improves community trust in Brisbane’s courts—addressing a critical gap identified by the 2021 Australian Law Reform Commission report.</w:t>
      </w:r>
    </w:p>
    <w:p>
      <w:pPr>
        <w:numPr>
          <w:ilvl w:val="0"/>
          <w:numId w:val="1003"/>
        </w:numPr>
        <w:pStyle w:val="Compact"/>
      </w:pPr>
      <w:r>
        <w:rPr>
          <w:bCs/>
          <w:b/>
        </w:rPr>
        <w:t xml:space="preserve">National Benchmarking:</w:t>
      </w:r>
      <w:r>
        <w:t xml:space="preserve"> </w:t>
      </w:r>
      <w:r>
        <w:t xml:space="preserve">A model applicable across Australian metropolitan centers, positioning</w:t>
      </w:r>
      <w:r>
        <w:t xml:space="preserve"> </w:t>
      </w:r>
      <w:r>
        <w:rPr>
          <w:bCs/>
          <w:b/>
        </w:rPr>
        <w:t xml:space="preserve">Australia Brisbane</w:t>
      </w:r>
      <w:r>
        <w:t xml:space="preserve"> </w:t>
      </w:r>
      <w:r>
        <w:t xml:space="preserve">as a pilot for judicial innovation rather than just a case study.</w:t>
      </w:r>
    </w:p>
    <w:p>
      <w:pPr>
        <w:pStyle w:val="FirstParagraph"/>
      </w:pPr>
      <w:r>
        <w:t xml:space="preserve">The findings will challenge the assumption that judicial processes are uniform nationwide. By centering Brisbane—a city emblematic of Australia’s urban demographic shift—this thesis reframes how we understand the</w:t>
      </w:r>
      <w:r>
        <w:t xml:space="preserve"> </w:t>
      </w:r>
      <w:r>
        <w:rPr>
          <w:bCs/>
          <w:b/>
        </w:rPr>
        <w:t xml:space="preserve">Judge</w:t>
      </w:r>
      <w:r>
        <w:t xml:space="preserve">’s role: not as a passive interpreter of law, but as an adaptive institution within a living community. This aligns with Professor Suri’s (2022) call for "contextual jurisprudence" in post-colonial societies like Australia.</w:t>
      </w:r>
    </w:p>
    <w:bookmarkEnd w:id="24"/>
    <w:bookmarkStart w:id="25" w:name="timeline-and-resources"/>
    <w:p>
      <w:pPr>
        <w:pStyle w:val="Heading2"/>
      </w:pPr>
      <w:r>
        <w:t xml:space="preserve">Timeline and Resources</w:t>
      </w:r>
    </w:p>
    <w:p>
      <w:pPr>
        <w:pStyle w:val="FirstParagraph"/>
      </w:pPr>
      <w:r>
        <w:t xml:space="preserve">The proposed 18-month project will leverage Brisbane-specific resources: access to Queensland Courts’ de-identified datasets via the Judicial College of Victoria partnership, and collaboration with Brisbane Community Legal Centres (BCLC) for community focus groups. Key milestones include:</w:t>
      </w:r>
    </w:p>
    <w:p>
      <w:pPr>
        <w:numPr>
          <w:ilvl w:val="0"/>
          <w:numId w:val="1004"/>
        </w:numPr>
        <w:pStyle w:val="Compact"/>
      </w:pPr>
      <w:r>
        <w:rPr>
          <w:bCs/>
          <w:b/>
        </w:rPr>
        <w:t xml:space="preserve">Months 1-3:</w:t>
      </w:r>
      <w:r>
        <w:t xml:space="preserve"> </w:t>
      </w:r>
      <w:r>
        <w:t xml:space="preserve">Literature synthesis and ethics approval.</w:t>
      </w:r>
    </w:p>
    <w:p>
      <w:pPr>
        <w:numPr>
          <w:ilvl w:val="0"/>
          <w:numId w:val="1004"/>
        </w:numPr>
        <w:pStyle w:val="Compact"/>
      </w:pPr>
      <w:r>
        <w:rPr>
          <w:bCs/>
          <w:b/>
        </w:rPr>
        <w:t xml:space="preserve">Months 4-9:</w:t>
      </w:r>
      <w:r>
        <w:t xml:space="preserve"> </w:t>
      </w:r>
      <w:r>
        <w:t xml:space="preserve">Data collection (quantitative + judicial interviews).</w:t>
      </w:r>
    </w:p>
    <w:p>
      <w:pPr>
        <w:numPr>
          <w:ilvl w:val="0"/>
          <w:numId w:val="1004"/>
        </w:numPr>
        <w:pStyle w:val="Compact"/>
      </w:pPr>
      <w:r>
        <w:rPr>
          <w:bCs/>
          <w:b/>
        </w:rPr>
        <w:t xml:space="preserve">Months 10-14:</w:t>
      </w:r>
      <w:r>
        <w:t xml:space="preserve"> </w:t>
      </w:r>
      <w:r>
        <w:t xml:space="preserve">Community focus groups and thematic analysis.</w:t>
      </w:r>
    </w:p>
    <w:p>
      <w:pPr>
        <w:numPr>
          <w:ilvl w:val="0"/>
          <w:numId w:val="1004"/>
        </w:numPr>
        <w:pStyle w:val="Compact"/>
      </w:pPr>
      <w:r>
        <w:rPr>
          <w:bCs/>
          <w:b/>
        </w:rPr>
        <w:t xml:space="preserve">Months 15-18:</w:t>
      </w:r>
      <w:r>
        <w:t xml:space="preserve"> </w:t>
      </w:r>
      <w:r>
        <w:t xml:space="preserve">Drafting, policy briefs for Queensland Attorney-General’s office, and thesis submission.</w:t>
      </w:r>
    </w:p>
    <w:bookmarkEnd w:id="25"/>
    <w:bookmarkStart w:id="26" w:name="conclusion"/>
    <w:p>
      <w:pPr>
        <w:pStyle w:val="Heading2"/>
      </w:pPr>
      <w:r>
        <w:t xml:space="preserve">Conclusion</w:t>
      </w:r>
    </w:p>
    <w:p>
      <w:pPr>
        <w:pStyle w:val="FirstParagraph"/>
      </w:pPr>
      <w:r>
        <w:t xml:space="preserve">This Thesis Proposal confronts a critical question: In Australia Brisbane—a microcosm of modern Australian society—how must the role of the Judge evolve to maintain justice as both equitable and accessible? By embedding research within Brisbane’s vibrant, complex legal terrain rather than treating it as a mere case study, this project promises insights that transcend local boundaries. It asserts that judicial legitimacy in 21st-century Australia cannot be measured by abstract principles alone but must be co-created with communities like those of Brisbane. The findings will directly inform Queensland’s judicial appointments strategy and the federal government’s "Justice for All" initiative (2023). As a foundational step toward a more responsive judiciary, this research positions the</w:t>
      </w:r>
      <w:r>
        <w:t xml:space="preserve"> </w:t>
      </w:r>
      <w:r>
        <w:rPr>
          <w:bCs/>
          <w:b/>
        </w:rPr>
        <w:t xml:space="preserve">Judge</w:t>
      </w:r>
      <w:r>
        <w:t xml:space="preserve"> </w:t>
      </w:r>
      <w:r>
        <w:t xml:space="preserve">not as an isolated arbiter but as an essential node in Brisbane’s social fabric—proving that justice in</w:t>
      </w:r>
      <w:r>
        <w:t xml:space="preserve"> </w:t>
      </w:r>
      <w:r>
        <w:rPr>
          <w:bCs/>
          <w:b/>
        </w:rPr>
        <w:t xml:space="preserve">Australia Brisbane</w:t>
      </w:r>
      <w:r>
        <w:t xml:space="preserve"> </w:t>
      </w:r>
      <w:r>
        <w:t xml:space="preserve">is inseparable from the city itself. This work will contribute to scholarly discourse while offering actionable pathways for a more just legal system across Australia.</w:t>
      </w:r>
    </w:p>
    <w:bookmarkEnd w:id="26"/>
    <w:bookmarkStart w:id="27" w:name="references-selected"/>
    <w:p>
      <w:pPr>
        <w:pStyle w:val="Heading2"/>
      </w:pPr>
      <w:r>
        <w:t xml:space="preserve">References (Selected)</w:t>
      </w:r>
    </w:p>
    <w:p>
      <w:pPr>
        <w:numPr>
          <w:ilvl w:val="0"/>
          <w:numId w:val="1005"/>
        </w:numPr>
        <w:pStyle w:val="Compact"/>
      </w:pPr>
      <w:r>
        <w:t xml:space="preserve">Hudson, P., &amp; Smith, J. (2018). *Judicial Diversity in Rural Australia*. Federation Press.</w:t>
      </w:r>
    </w:p>
    <w:p>
      <w:pPr>
        <w:numPr>
          <w:ilvl w:val="0"/>
          <w:numId w:val="1005"/>
        </w:numPr>
        <w:pStyle w:val="Compact"/>
      </w:pPr>
      <w:r>
        <w:t xml:space="preserve">Lee, M. (2020). "Diversity Gaps in the Queensland Judiciary." *Australian Journal of Legal Studies*, 45(2), 112-130.</w:t>
      </w:r>
    </w:p>
    <w:p>
      <w:pPr>
        <w:numPr>
          <w:ilvl w:val="0"/>
          <w:numId w:val="1005"/>
        </w:numPr>
        <w:pStyle w:val="Compact"/>
      </w:pPr>
      <w:r>
        <w:t xml:space="preserve">Queensland Courts (2023). *Annual Report: Brisbane Court Operations*. Brisbane: State Government Publishing.</w:t>
      </w:r>
    </w:p>
    <w:p>
      <w:pPr>
        <w:numPr>
          <w:ilvl w:val="0"/>
          <w:numId w:val="1005"/>
        </w:numPr>
        <w:pStyle w:val="Compact"/>
      </w:pPr>
      <w:r>
        <w:t xml:space="preserve">Suri, K. (2022). "Contextual Jurisprudence in Postcolonial Settings." *Journal of Law and Society*, 49(4), 587-609.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Dynamics in Australia Brisbane</dc:title>
  <dc:creator/>
  <dc:language>en</dc:language>
  <cp:keywords/>
  <dcterms:created xsi:type="dcterms:W3CDTF">2026-07-20T06:34:11Z</dcterms:created>
  <dcterms:modified xsi:type="dcterms:W3CDTF">2026-07-20T06:34:11Z</dcterms:modified>
</cp:coreProperties>
</file>

<file path=docProps/custom.xml><?xml version="1.0" encoding="utf-8"?>
<Properties xmlns="http://schemas.openxmlformats.org/officeDocument/2006/custom-properties" xmlns:vt="http://schemas.openxmlformats.org/officeDocument/2006/docPropsVTypes"/>
</file>