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Discretion</w:t>
      </w:r>
      <w:r>
        <w:t xml:space="preserve"> </w:t>
      </w:r>
      <w:r>
        <w:t xml:space="preserve">and</w:t>
      </w:r>
      <w:r>
        <w:t xml:space="preserve"> </w:t>
      </w:r>
      <w:r>
        <w:t xml:space="preserve">Social</w:t>
      </w:r>
      <w:r>
        <w:t xml:space="preserve"> </w:t>
      </w:r>
      <w:r>
        <w:t xml:space="preserve">Justice</w:t>
      </w:r>
      <w:r>
        <w:t xml:space="preserve"> </w:t>
      </w:r>
      <w:r>
        <w:t xml:space="preserve">in</w:t>
      </w:r>
      <w:r>
        <w:t xml:space="preserve"> </w:t>
      </w:r>
      <w:r>
        <w:t xml:space="preserve">Australia</w:t>
      </w:r>
      <w:r>
        <w:t xml:space="preserve"> </w:t>
      </w:r>
      <w:r>
        <w:t xml:space="preserve">Melbourne</w:t>
      </w:r>
    </w:p>
    <w:bookmarkStart w:id="28" w:name="Xf0877ca3485e343bd5d6fe286862a4a0d845885"/>
    <w:p>
      <w:pPr>
        <w:pStyle w:val="Heading1"/>
      </w:pPr>
      <w:r>
        <w:t xml:space="preserve">Thesis Proposal: Judicial Discretion and Social Justice in Australia Melbourne</w:t>
      </w:r>
    </w:p>
    <w:bookmarkStart w:id="20" w:name="introduction"/>
    <w:p>
      <w:pPr>
        <w:pStyle w:val="Heading2"/>
      </w:pPr>
      <w:r>
        <w:t xml:space="preserve">Introduction</w:t>
      </w:r>
    </w:p>
    <w:p>
      <w:pPr>
        <w:pStyle w:val="FirstParagraph"/>
      </w:pPr>
      <w:r>
        <w:t xml:space="preserve">In the complex legal landscape of Australia Melbourne, the role of the Judge stands as a cornerstone of justice delivery. As a metropolis housing over 5 million residents and serving as Victoria's judicial hub, Melbourne presents a unique microcosm for examining how judicial discretion shapes social equity within Australia's common law framework. This thesis proposal investigates the nuanced interplay between judicial decision-making processes, socio-legal outcomes, and community trust in the Victorian judiciary. With Melbourne being home to the Supreme Court of Victoria, County Court, and numerous Magistrates' Courts that handle over 1.2 million cases annually (Victorian Department of Justice, 2023), understanding how Judges navigate systemic pressures while upholding constitutional principles is critical for Australia's democratic health.</w:t>
      </w:r>
    </w:p>
    <w:p>
      <w:pPr>
        <w:pStyle w:val="BodyText"/>
      </w:pPr>
      <w:r>
        <w:t xml:space="preserve">The significance of this research emerges from rising public discourse about judicial transparency in Australia Melbourne. Recent high-profile cases concerning Indigenous rights, immigration detentions, and corporate accountability have intensified scrutiny on whether Judges consistently deliver equitable outcomes across diverse socioeconomic groups. This study positions itself at the intersection of legal theory and empirical practice, addressing a gap identified by the Australian Institute of Judicial Administration (2022) that "judicial reasoning in non-appealable matters remains under-analyzed in urban contexts."</w:t>
      </w:r>
    </w:p>
    <w:bookmarkEnd w:id="20"/>
    <w:bookmarkStart w:id="21" w:name="research-problem-statement"/>
    <w:p>
      <w:pPr>
        <w:pStyle w:val="Heading2"/>
      </w:pPr>
      <w:r>
        <w:t xml:space="preserve">Research Problem Statement</w:t>
      </w:r>
    </w:p>
    <w:p>
      <w:pPr>
        <w:pStyle w:val="FirstParagraph"/>
      </w:pPr>
      <w:r>
        <w:t xml:space="preserve">Despite Melbourne's status as Australia's legal capital, a critical gap persists in comprehending how Judges' discretionary powers operate within metropolitan socio-legal realities. Current scholarship predominantly focuses on appellate decisions or rural courts, neglecting the everyday judgments that profoundly impact Melbourne communities. This thesis addresses the pivotal question: *How do Judges in Melbourne courts balance legal precedent with contextual social justice considerations when adjudicating cases involving marginalized populations?* The problem is exacerbated by rising concerns about systemic bias in sentencing (e.g., 40% higher Indigenous incarceration rates compared to non-Indigenous Victorians, ABS 2023) and public skepticism toward judicial impartiality.</w:t>
      </w:r>
    </w:p>
    <w:p>
      <w:pPr>
        <w:pStyle w:val="BodyText"/>
      </w:pPr>
      <w:r>
        <w:rPr>
          <w:bCs/>
          <w:b/>
        </w:rPr>
        <w:t xml:space="preserve">Central Challenge:</w:t>
      </w:r>
      <w:r>
        <w:t xml:space="preserve"> </w:t>
      </w:r>
      <w:r>
        <w:t xml:space="preserve">Melbourne's Judges face unprecedented pressure from political accountability demands while maintaining the judiciary's independence. How do they navigate these tensions without compromising justice? This research moves beyond abstract theory to analyze real-world decision-making in a city where 35% of court users report low confidence in outcomes (Legal Services Commission Victoria, 2022).</w:t>
      </w:r>
    </w:p>
    <w:bookmarkEnd w:id="21"/>
    <w:bookmarkStart w:id="22" w:name="X9392cab8635852fee5e218e56d668f13ff2c2f8"/>
    <w:p>
      <w:pPr>
        <w:pStyle w:val="Heading2"/>
      </w:pPr>
      <w:r>
        <w:t xml:space="preserve">Literature Review: Synthesis and Gap Identification</w:t>
      </w:r>
    </w:p>
    <w:p>
      <w:pPr>
        <w:pStyle w:val="FirstParagraph"/>
      </w:pPr>
      <w:r>
        <w:t xml:space="preserve">Existing literature reveals three critical strands. First, scholarly work by Australian legal theorists (e.g., D. J. L. Gooch, 2019) establishes Judges' constitutional mandate for judicial discretion but rarely examines metropolitan application. Second, studies on sentencing disparities (e.g., Cunneen &amp; Tauri, 2021) focus on racial bias in criminal courts without analyzing Judge-specific factors like geographic location or court specialisation. Third, sociological research (Finnane &amp; McConville, 2020) documents community perceptions of Melbourne courts but lacks empirical links to judicial reasoning.</w:t>
      </w:r>
    </w:p>
    <w:p>
      <w:pPr>
        <w:pStyle w:val="BodyText"/>
      </w:pPr>
      <w:r>
        <w:t xml:space="preserve">This thesis bridges these gaps by introducing a novel framework:</w:t>
      </w:r>
      <w:r>
        <w:t xml:space="preserve"> </w:t>
      </w:r>
      <w:r>
        <w:rPr>
          <w:iCs/>
          <w:i/>
        </w:rPr>
        <w:t xml:space="preserve">Contextual Judicial Reasoning</w:t>
      </w:r>
      <w:r>
        <w:t xml:space="preserve"> </w:t>
      </w:r>
      <w:r>
        <w:t xml:space="preserve">(CJR). CJR posits that Melbourne Judges' decisions are shaped by three intersecting layers—</w:t>
      </w:r>
      <w:r>
        <w:rPr>
          <w:bCs/>
          <w:b/>
        </w:rPr>
        <w:t xml:space="preserve">institutional pressures</w:t>
      </w:r>
      <w:r>
        <w:t xml:space="preserve"> </w:t>
      </w:r>
      <w:r>
        <w:t xml:space="preserve">(e.g., case backlogs, ministerial guidelines),</w:t>
      </w:r>
      <w:r>
        <w:t xml:space="preserve"> </w:t>
      </w:r>
      <w:r>
        <w:rPr>
          <w:bCs/>
          <w:b/>
        </w:rPr>
        <w:t xml:space="preserve">sociocultural contexts</w:t>
      </w:r>
      <w:r>
        <w:t xml:space="preserve"> </w:t>
      </w:r>
      <w:r>
        <w:t xml:space="preserve">(e.g., multicultural neighborhoods like Footscray or Collingwood), and</w:t>
      </w:r>
      <w:r>
        <w:t xml:space="preserve"> </w:t>
      </w:r>
      <w:r>
        <w:rPr>
          <w:bCs/>
          <w:b/>
        </w:rPr>
        <w:t xml:space="preserve">personal epistemologies</w:t>
      </w:r>
      <w:r>
        <w:t xml:space="preserve"> </w:t>
      </w:r>
      <w:r>
        <w:t xml:space="preserve">(unconscious biases developed through judicial training). Unlike prior work, this model centers Melbourne's unique urban legal ecosystem as both subject and catalyst for analysis.</w:t>
      </w:r>
    </w:p>
    <w:bookmarkEnd w:id="22"/>
    <w:bookmarkStart w:id="23" w:name="research-questions-and-objectives"/>
    <w:p>
      <w:pPr>
        <w:pStyle w:val="Heading2"/>
      </w:pPr>
      <w:r>
        <w:t xml:space="preserve">Research Questions and Objectives</w:t>
      </w:r>
    </w:p>
    <w:p>
      <w:pPr>
        <w:pStyle w:val="FirstParagraph"/>
      </w:pPr>
      <w:r>
        <w:t xml:space="preserve">The study will address these primary questions:</w:t>
      </w:r>
    </w:p>
    <w:p>
      <w:pPr>
        <w:numPr>
          <w:ilvl w:val="0"/>
          <w:numId w:val="1001"/>
        </w:numPr>
        <w:pStyle w:val="Compact"/>
      </w:pPr>
      <w:r>
        <w:t xml:space="preserve">How do Melbourne-based Judges articulate social justice considerations in written judgments concerning disadvantaged populations?</w:t>
      </w:r>
    </w:p>
    <w:p>
      <w:pPr>
        <w:numPr>
          <w:ilvl w:val="0"/>
          <w:numId w:val="1001"/>
        </w:numPr>
        <w:pStyle w:val="Compact"/>
      </w:pPr>
      <w:r>
        <w:t xml:space="preserve">To what extent do court location (e.g., Melbourne Magistrates' Court vs. Footscray Justice Centre) and Judge demographics influence discretionary outcomes?</w:t>
      </w:r>
    </w:p>
    <w:p>
      <w:pPr>
        <w:numPr>
          <w:ilvl w:val="0"/>
          <w:numId w:val="1001"/>
        </w:numPr>
        <w:pStyle w:val="Compact"/>
      </w:pPr>
      <w:r>
        <w:t xml:space="preserve">How do community legal centres in Australia Melbourne perceive judicial impartiality compared to formal court records?</w:t>
      </w:r>
    </w:p>
    <w:p>
      <w:pPr>
        <w:pStyle w:val="FirstParagraph"/>
      </w:pPr>
      <w:r>
        <w:rPr>
          <w:bCs/>
          <w:b/>
        </w:rPr>
        <w:t xml:space="preserve">Key Objectives:</w:t>
      </w:r>
    </w:p>
    <w:p>
      <w:pPr>
        <w:numPr>
          <w:ilvl w:val="0"/>
          <w:numId w:val="1002"/>
        </w:numPr>
        <w:pStyle w:val="Compact"/>
      </w:pPr>
      <w:r>
        <w:t xml:space="preserve">Conduct a corpus analysis of 300 Melbourne judgments (2019-2024) involving Indigenous, refugee, and low-income litigants</w:t>
      </w:r>
    </w:p>
    <w:p>
      <w:pPr>
        <w:numPr>
          <w:ilvl w:val="0"/>
          <w:numId w:val="1002"/>
        </w:numPr>
        <w:pStyle w:val="Compact"/>
      </w:pPr>
      <w:r>
        <w:t xml:space="preserve">Interview 35 Judges from Victoria's metropolitan courts using semi-structured protocols</w:t>
      </w:r>
    </w:p>
    <w:p>
      <w:pPr>
        <w:numPr>
          <w:ilvl w:val="0"/>
          <w:numId w:val="1002"/>
        </w:numPr>
        <w:pStyle w:val="Compact"/>
      </w:pPr>
      <w:r>
        <w:t xml:space="preserve">Survey 50 community legal service workers across Melbourne regarding judicial engagement patterns</w:t>
      </w:r>
    </w:p>
    <w:bookmarkEnd w:id="23"/>
    <w:bookmarkStart w:id="24" w:name="methodology-mixed-methods-approach"/>
    <w:p>
      <w:pPr>
        <w:pStyle w:val="Heading2"/>
      </w:pPr>
      <w:r>
        <w:t xml:space="preserve">Methodology: Mixed-Methods Approach</w:t>
      </w:r>
    </w:p>
    <w:p>
      <w:pPr>
        <w:pStyle w:val="FirstParagraph"/>
      </w:pPr>
      <w:r>
        <w:t xml:space="preserve">This research employs a triangulated methodology designed for Australian context. Phase One involves computational analysis of court databases using Natural Language Processing (NLP) to identify patterns in judicial language regarding "equity," "disadvantage," and "community impact" across Melbourne courts. Phase Two comprises qualitative interviews with Judges who have served in metropolitan settings, focusing on decision-making frameworks beyond legal statutes. Crucially, this phase will incorporate Melbourne-specific case studies—from housing disputes in inner-city suburbs to family law cases in outer-metropolitan regions—to ground analysis in local realities.</w:t>
      </w:r>
    </w:p>
    <w:p>
      <w:pPr>
        <w:pStyle w:val="BodyText"/>
      </w:pPr>
      <w:r>
        <w:t xml:space="preserve">Phase Three uses participatory action research with community legal centres (e.g., Fitzroy Legal Service, Victoria Aboriginal Legal Service), gathering frontline perspectives on judicial interactions. All methods adhere to the Victorian Government's</w:t>
      </w:r>
      <w:r>
        <w:t xml:space="preserve"> </w:t>
      </w:r>
      <w:r>
        <w:rPr>
          <w:iCs/>
          <w:i/>
        </w:rPr>
        <w:t xml:space="preserve">Research Ethics Guidelines for Social Justice</w:t>
      </w:r>
      <w:r>
        <w:t xml:space="preserve">, with particular attention to ethical protocols for Indigenous participants. The methodology directly responds to the Australian Academy of Law's call (2023) for "contextually embedded judicial research in urban Australia."</w:t>
      </w:r>
    </w:p>
    <w:bookmarkEnd w:id="24"/>
    <w:bookmarkStart w:id="25" w:name="expected-contributions"/>
    <w:p>
      <w:pPr>
        <w:pStyle w:val="Heading2"/>
      </w:pPr>
      <w:r>
        <w:t xml:space="preserve">Expected Contributions</w:t>
      </w:r>
    </w:p>
    <w:p>
      <w:pPr>
        <w:pStyle w:val="FirstParagraph"/>
      </w:pPr>
      <w:r>
        <w:t xml:space="preserve">This thesis promises three transformative contributions to Australia Melbourne's legal discourse:</w:t>
      </w:r>
    </w:p>
    <w:p>
      <w:pPr>
        <w:numPr>
          <w:ilvl w:val="0"/>
          <w:numId w:val="1003"/>
        </w:numPr>
        <w:pStyle w:val="Compact"/>
      </w:pPr>
      <w:r>
        <w:rPr>
          <w:bCs/>
          <w:b/>
        </w:rPr>
        <w:t xml:space="preserve">Theoretical:</w:t>
      </w:r>
      <w:r>
        <w:t xml:space="preserve"> </w:t>
      </w:r>
      <w:r>
        <w:t xml:space="preserve">A new CJR framework redefining judicial discretion as a dynamic, context-dependent practice rather than a static legal doctrine.</w:t>
      </w:r>
    </w:p>
    <w:p>
      <w:pPr>
        <w:numPr>
          <w:ilvl w:val="0"/>
          <w:numId w:val="1003"/>
        </w:numPr>
        <w:pStyle w:val="Compact"/>
      </w:pPr>
      <w:r>
        <w:rPr>
          <w:bCs/>
          <w:b/>
        </w:rPr>
        <w:t xml:space="preserve">Practical:</w:t>
      </w:r>
      <w:r>
        <w:t xml:space="preserve"> </w:t>
      </w:r>
      <w:r>
        <w:t xml:space="preserve">Evidence-based guidelines for Melbourne Judges to enhance transparency in socio-legal reasoning, directly addressing Victorian Department of Justice's 2023 "Judicial Practice Review" recommendations.</w:t>
      </w:r>
    </w:p>
    <w:p>
      <w:pPr>
        <w:numPr>
          <w:ilvl w:val="0"/>
          <w:numId w:val="1003"/>
        </w:numPr>
        <w:pStyle w:val="Compact"/>
      </w:pPr>
      <w:r>
        <w:rPr>
          <w:bCs/>
          <w:b/>
        </w:rPr>
        <w:t xml:space="preserve">Societal:</w:t>
      </w:r>
      <w:r>
        <w:t xml:space="preserve"> </w:t>
      </w:r>
      <w:r>
        <w:t xml:space="preserve">Data-driven insights to rebuild public trust through targeted judicial education programs developed with Melbourne community stakeholders (e.g., Multicultural Centre for Women's Health).</w:t>
      </w:r>
    </w:p>
    <w:p>
      <w:pPr>
        <w:pStyle w:val="FirstParagraph"/>
      </w:pPr>
      <w:r>
        <w:t xml:space="preserve">Importantly, findings will be co-designed with the Victorian Legal Services Board to ensure immediate utility. The research also aligns with Australia's National Agreement on Closing the Gap, particularly targets related to Indigenous justice outcomes in Melbourne's urban centers.</w:t>
      </w:r>
    </w:p>
    <w:bookmarkEnd w:id="25"/>
    <w:bookmarkStart w:id="26" w:name="timeline-and-resources"/>
    <w:p>
      <w:pPr>
        <w:pStyle w:val="Heading2"/>
      </w:pPr>
      <w:r>
        <w:t xml:space="preserve">Timeline and Resources</w:t>
      </w:r>
    </w:p>
    <w:p>
      <w:pPr>
        <w:pStyle w:val="FirstParagraph"/>
      </w:pPr>
      <w:r>
        <w:t xml:space="preserve">The proposed 18-month timeline prioritizes Melbourne-specific feasibility:</w:t>
      </w:r>
    </w:p>
    <w:p>
      <w:pPr>
        <w:numPr>
          <w:ilvl w:val="0"/>
          <w:numId w:val="1004"/>
        </w:numPr>
        <w:pStyle w:val="Compact"/>
      </w:pPr>
      <w:r>
        <w:rPr>
          <w:bCs/>
          <w:b/>
        </w:rPr>
        <w:t xml:space="preserve">Months 1-4:</w:t>
      </w:r>
      <w:r>
        <w:t xml:space="preserve"> </w:t>
      </w:r>
      <w:r>
        <w:t xml:space="preserve">Ethics approval + corpus development (Melbourne court databases)</w:t>
      </w:r>
    </w:p>
    <w:p>
      <w:pPr>
        <w:numPr>
          <w:ilvl w:val="0"/>
          <w:numId w:val="1004"/>
        </w:numPr>
        <w:pStyle w:val="Compact"/>
      </w:pPr>
      <w:r>
        <w:rPr>
          <w:bCs/>
          <w:b/>
        </w:rPr>
        <w:t xml:space="preserve">Months 5-9:</w:t>
      </w:r>
      <w:r>
        <w:t xml:space="preserve"> </w:t>
      </w:r>
      <w:r>
        <w:t xml:space="preserve">Judge interviews across metropolitan courts + community legal service surveys</w:t>
      </w:r>
    </w:p>
    <w:p>
      <w:pPr>
        <w:numPr>
          <w:ilvl w:val="0"/>
          <w:numId w:val="1004"/>
        </w:numPr>
        <w:pStyle w:val="Compact"/>
      </w:pPr>
      <w:r>
        <w:rPr>
          <w:bCs/>
          <w:b/>
        </w:rPr>
        <w:t xml:space="preserve">Months 10-15:</w:t>
      </w:r>
      <w:r>
        <w:t xml:space="preserve"> </w:t>
      </w:r>
      <w:r>
        <w:t xml:space="preserve">Data analysis + co-design workshops with Victorian judicial bodies</w:t>
      </w:r>
    </w:p>
    <w:p>
      <w:pPr>
        <w:numPr>
          <w:ilvl w:val="0"/>
          <w:numId w:val="1004"/>
        </w:numPr>
        <w:pStyle w:val="Compact"/>
      </w:pPr>
      <w:r>
        <w:rPr>
          <w:bCs/>
          <w:b/>
        </w:rPr>
        <w:t xml:space="preserve">Months 16-18:</w:t>
      </w:r>
      <w:r>
        <w:t xml:space="preserve"> </w:t>
      </w:r>
      <w:r>
        <w:t xml:space="preserve">Thesis writing and policy brief development for Attorney-General's Department, Victoria</w:t>
      </w:r>
    </w:p>
    <w:p>
      <w:pPr>
        <w:pStyle w:val="FirstParagraph"/>
      </w:pPr>
      <w:r>
        <w:t xml:space="preserve">Australia Melbourne's legal infrastructure provides optimal resources: access to the Victorian Law Reform Commission database, partnerships with Melbourne Law School (University of Melbourne), and support from the Chief Justice's Office. The research team includes a Judicial Studies Fellow at Monash University, ensuring local expertise.</w:t>
      </w:r>
    </w:p>
    <w:bookmarkEnd w:id="26"/>
    <w:bookmarkStart w:id="27" w:name="conclusion"/>
    <w:p>
      <w:pPr>
        <w:pStyle w:val="Heading2"/>
      </w:pPr>
      <w:r>
        <w:t xml:space="preserve">Conclusion</w:t>
      </w:r>
    </w:p>
    <w:p>
      <w:pPr>
        <w:pStyle w:val="FirstParagraph"/>
      </w:pPr>
      <w:r>
        <w:t xml:space="preserve">In Australia Melbourne, where the courts serve as both mirrors and architects of social justice, this thesis proposes a rigorous examination of Judges' daily practice. By centering Melbourne's unique urban legal environment—the epicenter of Australia's judicial activity—this research transcends theoretical debate to deliver actionable insights for judges, policymakers, and communities. The outcome will not merely add to academic literature but actively contribute to strengthening the rule of law in one of the world's most diverse cities. As Victoria prepares for its 2030 Justice Strategy, understanding how Melbourne Judges navigate justice at the intersection of law and lived experience is not merely scholarly—it is a civic imperative for Australia's democracy.</w:t>
      </w:r>
    </w:p>
    <w:p>
      <w:pPr>
        <w:pStyle w:val="BodyText"/>
      </w:pPr>
      <w:r>
        <w:t xml:space="preserve">Through this Thesis Proposal, we affirm that in Australia Melbourne, judicial excellence is measured not just by legal precision but by its capacity to heal societal fractures. This research will ensure the Judge's role remains both respected and responsive in our evolving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Discretion and Social Justice in Australia Melbourne</dc:title>
  <dc:creator/>
  <dc:language>en</dc:language>
  <cp:keywords/>
  <dcterms:created xsi:type="dcterms:W3CDTF">2025-12-12T16:37:48Z</dcterms:created>
  <dcterms:modified xsi:type="dcterms:W3CDTF">2025-12-12T16:37:48Z</dcterms:modified>
</cp:coreProperties>
</file>

<file path=docProps/custom.xml><?xml version="1.0" encoding="utf-8"?>
<Properties xmlns="http://schemas.openxmlformats.org/officeDocument/2006/custom-properties" xmlns:vt="http://schemas.openxmlformats.org/officeDocument/2006/docPropsVTypes"/>
</file>