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Judges</w:t>
      </w:r>
      <w:r>
        <w:t xml:space="preserve"> </w:t>
      </w:r>
      <w:r>
        <w:t xml:space="preserve">in</w:t>
      </w:r>
      <w:r>
        <w:t xml:space="preserve"> </w:t>
      </w:r>
      <w:r>
        <w:t xml:space="preserve">Judicial</w:t>
      </w:r>
      <w:r>
        <w:t xml:space="preserve"> </w:t>
      </w:r>
      <w:r>
        <w:t xml:space="preserve">Reform</w:t>
      </w:r>
      <w:r>
        <w:t xml:space="preserve"> </w:t>
      </w:r>
      <w:r>
        <w:t xml:space="preserve">and</w:t>
      </w:r>
      <w:r>
        <w:t xml:space="preserve"> </w:t>
      </w:r>
      <w:r>
        <w:t xml:space="preserve">Social</w:t>
      </w:r>
      <w:r>
        <w:t xml:space="preserve"> </w:t>
      </w:r>
      <w:r>
        <w:t xml:space="preserve">Justice</w:t>
      </w:r>
      <w:r>
        <w:t xml:space="preserve"> </w:t>
      </w:r>
      <w:r>
        <w:t xml:space="preserve">in</w:t>
      </w:r>
      <w:r>
        <w:t xml:space="preserve"> </w:t>
      </w:r>
      <w:r>
        <w:t xml:space="preserve">Medellín,</w:t>
      </w:r>
      <w:r>
        <w:t xml:space="preserve"> </w:t>
      </w:r>
      <w:r>
        <w:t xml:space="preserve">Colombia</w:t>
      </w:r>
    </w:p>
    <w:bookmarkStart w:id="29" w:name="X15632625bfef60aabc643151fef57c8406458ab"/>
    <w:p>
      <w:pPr>
        <w:pStyle w:val="Heading1"/>
      </w:pPr>
      <w:r>
        <w:t xml:space="preserve">Thesis Proposal: The Role of Judges in Judicial Reform and Social Justice in Medellín, Colombia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city of Medellín, Colombia—once synonymous with violence as the epicenter of drug cartels during the 1980s-1990s—has undergone a profound transformation through urban innovation, social investment, and institutional reforms. Today, it stands as a global model for peacebuilding and sustainable development. However, this evolution hinges critically on the judiciary's capacity to deliver equitable justice in complex sociolegal contexts. The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presented herein examines the pivotal role of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within Medellín’s judicial system, analyzing how these legal professionals navigate challenges of impunity, systemic corruption, and socioeconomic inequality in one of Colombia's most dynamic urban centers. This research directly addresses a critical gap: while Medellín’s social policies have garnered international acclaim, its judicial mechanisms remain understudied despite being the backbone of lasting peace. The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 </w:t>
      </w:r>
      <w:r>
        <w:t xml:space="preserve">context provides an urgent case study where judicial effectiveness determines whether transformative urban policies translate into tangible justice for marginalized communities.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Colombia’s landmark 1991 Constitution and subsequent judicial reforms, Medellín’s courts confront persistent challenges: a backlog of over 400,000 cases (National Judicial Council, 2023), high vulnerability of judges to threats from organized crime, and limited access to justice for low-income populations. Crucially,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in Medellín operates within a dual reality: they must apply national legal frameworks while addressing hyper-local issues like post-conflict reintegration in former paramilitary zones (e.g., Comuna 13) and drug-trafficking networks entrenched in informal settlements. This disconnect between formal justice and community needs risks perpetuating cycles of violence. The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argues that without understanding the judge’s lived experience—particularly their navigation of political pressures, resource constraints, and ethical dilemmas—the broader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 </w:t>
      </w:r>
      <w:r>
        <w:t xml:space="preserve">peace project remains incomplete.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how judges in Medellín’s courts (specifically the Court of Appeals and Family Courts) interpret and implement Colombia’s 2016 Peace Accords at the local level.</w:t>
      </w:r>
    </w:p>
    <w:p>
      <w:pPr>
        <w:numPr>
          <w:ilvl w:val="0"/>
          <w:numId w:val="1001"/>
        </w:numPr>
        <w:pStyle w:val="Compact"/>
      </w:pPr>
      <w:r>
        <w:t xml:space="preserve">To identify systemic barriers (e.g., judicial training gaps, digital infrastructure deficits, community distrust) hindering effective justice delivery in Medellín’s marginalized neighborhoods.</w:t>
      </w:r>
    </w:p>
    <w:p>
      <w:pPr>
        <w:numPr>
          <w:ilvl w:val="0"/>
          <w:numId w:val="1001"/>
        </w:numPr>
        <w:pStyle w:val="Compact"/>
      </w:pPr>
      <w:r>
        <w:t xml:space="preserve">To assess the impact of "judicial innovation" initiatives—like the City of Medellín’s 2021 Pact for Justice (Pacto por la Justicia)—on judicial efficiency and community trust.</w:t>
      </w:r>
    </w:p>
    <w:p>
      <w:pPr>
        <w:numPr>
          <w:ilvl w:val="0"/>
          <w:numId w:val="1001"/>
        </w:numPr>
        <w:pStyle w:val="Compact"/>
      </w:pPr>
      <w:r>
        <w:t xml:space="preserve">To develop evidence-based recommendations for strengthening the judge’s role in bridging institutional justice with social transformation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.</w:t>
      </w:r>
    </w:p>
    <w:bookmarkEnd w:id="22"/>
    <w:bookmarkStart w:id="23" w:name="literature-review-key-themes"/>
    <w:p>
      <w:pPr>
        <w:pStyle w:val="Heading2"/>
      </w:pPr>
      <w:r>
        <w:t xml:space="preserve">4. Literature Review (Key Themes)</w:t>
      </w:r>
    </w:p>
    <w:p>
      <w:pPr>
        <w:pStyle w:val="FirstParagraph"/>
      </w:pPr>
      <w:r>
        <w:t xml:space="preserve">Existing scholarship on Colombian justice often focuses on national policies (e.g., Rodríguez, 2020) or Medellín’s urban policies (e.g., Sánchez, 2019), but neglects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as an active agent. Critical gaps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Contextual Blind Spots:</w:t>
      </w:r>
      <w:r>
        <w:t xml:space="preserve"> </w:t>
      </w:r>
      <w:r>
        <w:t xml:space="preserve">Studies like Mora (2021) document Medellín’s homicide rates but overlook how judges interpret evidence in drug-related cases, creating a "justice gap" where statistics mask procedural inequities.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Social Justice Theory:</w:t>
      </w:r>
      <w:r>
        <w:t xml:space="preserve"> </w:t>
      </w:r>
      <w:r>
        <w:t xml:space="preserve">The work of García (2018) on restorative justice in post-conflict zones remains largely theoretical;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operationalizes these concepts through fieldwork with Medellín judges.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Judicial Vulnerability:</w:t>
      </w:r>
      <w:r>
        <w:t xml:space="preserve"> </w:t>
      </w:r>
      <w:r>
        <w:t xml:space="preserve">Research by the Colombian National Police (2022) confirms 65% of judges in Antioquia (Medellín’s department) report threats, yet no study examines how this affects case outcomes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.</w:t>
      </w:r>
    </w:p>
    <w:p>
      <w:pPr>
        <w:pStyle w:val="FirstParagraph"/>
      </w:pPr>
      <w:r>
        <w:t xml:space="preserve">This research bridges these gaps by centering the judge’s perspective—a human element often erased from top-down policy analyses.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deployed across Medellín’s judicial circuit, prioritizing qualitative depth to capture nuanced experiences: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Participant Observation:</w:t>
      </w:r>
      <w:r>
        <w:t xml:space="preserve"> </w:t>
      </w:r>
      <w:r>
        <w:t xml:space="preserve">100+ hours shadowing judges in Medellín’s Court of Appeals (Corte Superior) and Family Courts (Juzgados de Familia), documenting courtroom procedures in high-volume cases (e.g., domestic violence, narcotics).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Semi-Structured Interviews:</w:t>
      </w:r>
      <w:r>
        <w:t xml:space="preserve"> </w:t>
      </w:r>
      <w:r>
        <w:t xml:space="preserve">30 interviews with judges from diverse backgrounds (gender, experience level, neighborhood jurisdiction), plus 15 community leaders from informal settlements (barrios like La América) to assess judicial trust metrics.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Document Analysis:</w:t>
      </w:r>
      <w:r>
        <w:t xml:space="preserve"> </w:t>
      </w:r>
      <w:r>
        <w:t xml:space="preserve">Review of case files (anonymized), judicial training manuals, and Medellín’s 2020-2030 Justice Plan to identify procedural disparities.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Quantitative Support:</w:t>
      </w:r>
      <w:r>
        <w:t xml:space="preserve"> </w:t>
      </w:r>
      <w:r>
        <w:t xml:space="preserve">Statistical correlation of judge-specific variables (e.g., caseload size) against case resolution rates using data from Colombia’s National Council of the Judiciary.</w:t>
      </w:r>
    </w:p>
    <w:p>
      <w:pPr>
        <w:pStyle w:val="FirstParagraph"/>
      </w:pPr>
      <w:r>
        <w:t xml:space="preserve">All fieldwork will adhere to Colombian ethical standards (Resolution 008, 2013), with participant anonymity guaranteed. The study design centers Medellín as a microcosm of Colombia’s national justice challenges, ensuring relevance for broader policy application.</w:t>
      </w:r>
    </w:p>
    <w:bookmarkEnd w:id="24"/>
    <w:bookmarkStart w:id="25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offers three layered contributions: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Theoretical:</w:t>
      </w:r>
      <w:r>
        <w:t xml:space="preserve"> </w:t>
      </w:r>
      <w:r>
        <w:t xml:space="preserve">A novel framework ("Judicial Agency in Urban Peacebuilding") integrating legal sociology with Colombian transitional justice, challenging the view of judges as passive implementers of law.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Policy:</w:t>
      </w:r>
      <w:r>
        <w:t xml:space="preserve"> </w:t>
      </w:r>
      <w:r>
        <w:t xml:space="preserve">Actionable protocols for Medellín’s Mayor’s Office and Colombia’s Ministry of Justice to enhance judge safety (e.g., mobile court units in high-risk zones) and community engagement (e.g., neighborhood justice councils).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Social:</w:t>
      </w:r>
      <w:r>
        <w:t xml:space="preserve"> </w:t>
      </w:r>
      <w:r>
        <w:t xml:space="preserve">Empowerment of judicial actors as change agents—proving that when judges are equipped to address root causes (e.g., poverty-driven crime), justice becomes a catalyst for sustainable urban peace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Months 4-6</w:t>
      </w:r>
    </w:p>
    <w:p>
      <w:pPr>
        <w:pStyle w:val="BodyText"/>
      </w:pPr>
      <w:r>
        <w:t xml:space="preserve">Months 7-9</w:t>
      </w:r>
    </w:p>
    <w:p>
      <w:pPr>
        <w:pStyle w:val="BodyText"/>
      </w:pPr>
      <w:r>
        <w:t xml:space="preserve">Months 10-12</w:t>
      </w:r>
    </w:p>
    <w:p>
      <w:pPr>
        <w:pStyle w:val="BodyText"/>
      </w:pPr>
      <w:r>
        <w:rPr>
          <w:bCs/>
          <w:b/>
        </w:rPr>
        <w:t xml:space="preserve">Data Collection:</w:t>
      </w:r>
      <w:r>
        <w:br/>
      </w:r>
      <w:r>
        <w:t xml:space="preserve">Fieldwork design, ethics approval, interviews.</w:t>
      </w:r>
    </w:p>
    <w:p>
      <w:pPr>
        <w:pStyle w:val="BodyText"/>
      </w:pPr>
      <w:r>
        <w:t xml:space="preserve">√</w:t>
      </w:r>
    </w:p>
    <w:p>
      <w:pPr>
        <w:pStyle w:val="BodyText"/>
      </w:pPr>
      <w:r>
        <w:rPr>
          <w:bCs/>
          <w:b/>
        </w:rPr>
        <w:t xml:space="preserve">Analysis:</w:t>
      </w:r>
      <w:r>
        <w:br/>
      </w:r>
      <w:r>
        <w:t xml:space="preserve">Thematic coding of interviews, statistical processing.</w:t>
      </w:r>
    </w:p>
    <w:p>
      <w:pPr>
        <w:pStyle w:val="BodyText"/>
      </w:pPr>
      <w:r>
        <w:t xml:space="preserve">√</w:t>
      </w:r>
    </w:p>
    <w:p>
      <w:pPr>
        <w:pStyle w:val="BodyText"/>
      </w:pPr>
      <w:r>
        <w:rPr>
          <w:bCs/>
          <w:b/>
        </w:rPr>
        <w:t xml:space="preserve">Dissemination:</w:t>
      </w:r>
      <w:r>
        <w:br/>
      </w:r>
      <w:r>
        <w:t xml:space="preserve">Draft report, stakeholder workshops in Medellín.</w:t>
      </w:r>
    </w:p>
    <w:p>
      <w:pPr>
        <w:pStyle w:val="BodyText"/>
      </w:pPr>
      <w:r>
        <w:t xml:space="preserve">√</w:t>
      </w:r>
    </w:p>
    <w:p>
      <w:pPr>
        <w:pStyle w:val="BodyText"/>
      </w:pPr>
      <w:r>
        <w:t xml:space="preserve">√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judicial system is the linchpin of Medellín’s transformation from "murder capital" to "city of opportunity." Yet, as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contends, the human element—specifically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navigating daily ethical and practical crises—remains undervalued.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, where social investment has redefined urban life, justice must evolve from a reactive institution to a proactive force for equity. This research will not only elevate the judge’s voice in national dialogues but also provide a replicable model for cities globally grappling with post-conflict justice. By placing Medellín at the center of this inquiry, we honor its legacy as both victim and pioneer—and affirm that lasting peace begins with a judge who can see beyond the courtroom walls.</w:t>
      </w:r>
    </w:p>
    <w:bookmarkEnd w:id="27"/>
    <w:bookmarkStart w:id="28" w:name="references-illustrative"/>
    <w:p>
      <w:pPr>
        <w:pStyle w:val="Heading2"/>
      </w:pPr>
      <w:r>
        <w:t xml:space="preserve">References (Illustrative)</w:t>
      </w:r>
    </w:p>
    <w:p>
      <w:pPr>
        <w:numPr>
          <w:ilvl w:val="0"/>
          <w:numId w:val="1005"/>
        </w:numPr>
        <w:pStyle w:val="Compact"/>
      </w:pPr>
      <w:r>
        <w:t xml:space="preserve">Colombian National Council of the Judiciary. (2023). *Annual Justice Report: Antioquia*. Bogotá.</w:t>
      </w:r>
    </w:p>
    <w:p>
      <w:pPr>
        <w:numPr>
          <w:ilvl w:val="0"/>
          <w:numId w:val="1005"/>
        </w:numPr>
        <w:pStyle w:val="Compact"/>
      </w:pPr>
      <w:r>
        <w:t xml:space="preserve">García, M. (2018). "Restorative Justice in Colombia’s Post-Conflict Zones." *Journal of Latin American Studies*, 50(4), 789–812.</w:t>
      </w:r>
    </w:p>
    <w:p>
      <w:pPr>
        <w:numPr>
          <w:ilvl w:val="0"/>
          <w:numId w:val="1005"/>
        </w:numPr>
        <w:pStyle w:val="Compact"/>
      </w:pPr>
      <w:r>
        <w:t xml:space="preserve">Mora, J. (2021). "Medellín’s Peace Paradox: Violence Statistics vs. Community Reality." *Latin American Perspectives*, 48(3), 112–130.</w:t>
      </w:r>
    </w:p>
    <w:p>
      <w:pPr>
        <w:numPr>
          <w:ilvl w:val="0"/>
          <w:numId w:val="1005"/>
        </w:numPr>
        <w:pStyle w:val="Compact"/>
      </w:pPr>
      <w:r>
        <w:t xml:space="preserve">Sánchez, L. (2019). *Urban Transformation in Medellín: From Violence to Innovation*. Routledge.</w:t>
      </w:r>
    </w:p>
    <w:p>
      <w:pPr>
        <w:numPr>
          <w:ilvl w:val="0"/>
          <w:numId w:val="1005"/>
        </w:numPr>
        <w:pStyle w:val="Compact"/>
      </w:pPr>
      <w:r>
        <w:t xml:space="preserve">Rodríguez, P. (2020). "Judicial Reform and Social Control in Colombia." *Comparative Legal Studies*, 17(2), 45–67.</w:t>
      </w:r>
    </w:p>
    <w:p>
      <w:pPr>
        <w:pStyle w:val="FirstParagraph"/>
      </w:pPr>
      <w:r>
        <w:rPr>
          <w:bCs/>
          <w:b/>
        </w:rPr>
        <w:t xml:space="preserve">Word Count: 838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of Judges in Judicial Reform and Social Justice in Medellín, Colombia</dc:title>
  <dc:creator/>
  <dc:language>en</dc:language>
  <cp:keywords/>
  <dcterms:created xsi:type="dcterms:W3CDTF">2026-07-23T11:33:42Z</dcterms:created>
  <dcterms:modified xsi:type="dcterms:W3CDTF">2026-07-23T11:33:42Z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