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Iran</w:t>
      </w:r>
      <w:r>
        <w:t xml:space="preserve"> </w:t>
      </w:r>
      <w:r>
        <w:t xml:space="preserve">Tehran</w:t>
      </w:r>
    </w:p>
    <w:bookmarkStart w:id="29" w:name="Xc9d2440690f43fe3b5fb6f1fb05b17327819393"/>
    <w:p>
      <w:pPr>
        <w:pStyle w:val="Heading1"/>
      </w:pPr>
      <w:r>
        <w:t xml:space="preserve">Thesis Proposal: The Evolving Role of the Judge in Modernizing Justice Systems within Iran Tehran</w:t>
      </w:r>
    </w:p>
    <w:bookmarkStart w:id="20" w:name="introduction"/>
    <w:p>
      <w:pPr>
        <w:pStyle w:val="Heading2"/>
      </w:pPr>
      <w:r>
        <w:t xml:space="preserve">1. Introduction</w:t>
      </w:r>
    </w:p>
    <w:p>
      <w:pPr>
        <w:pStyle w:val="FirstParagraph"/>
      </w:pPr>
      <w:r>
        <w:t xml:space="preserve">The judicial system of Iran represents a unique synthesis of Islamic jurisprudence and civil law traditions, with Tehran serving as the nation's political, economic, and legal epicenter. This Thesis Proposal examines the pivotal role of the</w:t>
      </w:r>
      <w:r>
        <w:t xml:space="preserve"> </w:t>
      </w:r>
      <w:r>
        <w:rPr>
          <w:iCs/>
          <w:i/>
        </w:rPr>
        <w:t xml:space="preserve">Judge</w:t>
      </w:r>
      <w:r>
        <w:t xml:space="preserve"> </w:t>
      </w:r>
      <w:r>
        <w:t xml:space="preserve">within Iran's judiciary in Tehran—a city housing over 15 million residents where judicial decisions directly impact national policy implementation. As Iran navigates complex socio-political transformations, understanding how judges operate within Tehran's courts becomes critical for legal scholars and policymakers. This research addresses a significant gap: the absence of comprehensive academic analysis on contemporary judicial practices specifically within Tehran's dynamic urban context, where traditional Islamic law intersects with modern governance challenges.</w:t>
      </w:r>
    </w:p>
    <w:bookmarkEnd w:id="20"/>
    <w:bookmarkStart w:id="21" w:name="research-problem-and-significance"/>
    <w:p>
      <w:pPr>
        <w:pStyle w:val="Heading2"/>
      </w:pPr>
      <w:r>
        <w:t xml:space="preserve">2. Research Problem and Significance</w:t>
      </w:r>
    </w:p>
    <w:p>
      <w:pPr>
        <w:pStyle w:val="FirstParagraph"/>
      </w:pPr>
      <w:r>
        <w:t xml:space="preserve">Current scholarship on Iran's judiciary often generalizes nationwide structures without contextualizing Tehran's unique position as the seat of the Supreme Court, Ministry of Justice, and High Judicial Council. This oversight overlooks how judges in Tehran—handling cases ranging from corporate disputes to human rights litigation—negotiate between religious principles and evolving societal needs. The significance lies in three dimensions: First, Tehran's courts process over 60% of Iran's civil and criminal cases annually. Second, judicial decisions originating here frequently set precedents for nationwide legal interpretation. Third, with Iran facing international scrutiny on human rights standards, Tehran judges occupy a frontline position where domestic law meets global expectations. This research directly addresses the urgent need to document how</w:t>
      </w:r>
      <w:r>
        <w:t xml:space="preserve"> </w:t>
      </w:r>
      <w:r>
        <w:rPr>
          <w:iCs/>
          <w:i/>
        </w:rPr>
        <w:t xml:space="preserve">Judge</w:t>
      </w:r>
      <w:r>
        <w:t xml:space="preserve"> </w:t>
      </w:r>
      <w:r>
        <w:t xml:space="preserve">roles adapt to contemporary pressures in the nation's capital.</w:t>
      </w:r>
    </w:p>
    <w:bookmarkEnd w:id="21"/>
    <w:bookmarkStart w:id="22" w:name="literature-review-selected-key-works"/>
    <w:p>
      <w:pPr>
        <w:pStyle w:val="Heading2"/>
      </w:pPr>
      <w:r>
        <w:t xml:space="preserve">3. Literature Review (Selected Key Works)</w:t>
      </w:r>
    </w:p>
    <w:p>
      <w:pPr>
        <w:pStyle w:val="FirstParagraph"/>
      </w:pPr>
      <w:r>
        <w:t xml:space="preserve">Scholarship on Iran's judiciary has largely focused on constitutional frameworks (e.g., Riedel, 2017) or historical evolution (Sadjadpour, 2019). However, no recent study examines judges' day-to-day operational challenges in Tehran. Pioneering works by Kianfar (2020) analyze judicial appointments but omit field data from Tehran courts. Meanwhile, international reports (e.g., Amnesty International, 2023) highlight systemic issues without contextualizing local judicial agency. This gap necessitates primary research into how judges in Iran Tehran actively shape justice delivery—a dimension overlooked by existing literature.</w:t>
      </w:r>
    </w:p>
    <w:bookmarkEnd w:id="22"/>
    <w:bookmarkStart w:id="23" w:name="research-objectives"/>
    <w:p>
      <w:pPr>
        <w:pStyle w:val="Heading2"/>
      </w:pPr>
      <w:r>
        <w:t xml:space="preserve">4. Research Objectives</w:t>
      </w:r>
    </w:p>
    <w:p>
      <w:pPr>
        <w:numPr>
          <w:ilvl w:val="0"/>
          <w:numId w:val="1001"/>
        </w:numPr>
        <w:pStyle w:val="Compact"/>
      </w:pPr>
      <w:r>
        <w:t xml:space="preserve">To map the structural constraints and professional autonomy of judges within Tehran's judicial hierarchy (including Revolutionary Courts, Civil Courts, and specialized tribunals).</w:t>
      </w:r>
    </w:p>
    <w:p>
      <w:pPr>
        <w:numPr>
          <w:ilvl w:val="0"/>
          <w:numId w:val="1001"/>
        </w:numPr>
        <w:pStyle w:val="Compact"/>
      </w:pPr>
      <w:r>
        <w:t xml:space="preserve">To analyze how Tehran-based judges interpret Islamic legal principles in modern cases (e.g., digital privacy disputes, labor rights claims) amid evolving social norms.</w:t>
      </w:r>
    </w:p>
    <w:p>
      <w:pPr>
        <w:numPr>
          <w:ilvl w:val="0"/>
          <w:numId w:val="1001"/>
        </w:numPr>
        <w:pStyle w:val="Compact"/>
      </w:pPr>
      <w:r>
        <w:t xml:space="preserve">To evaluate the impact of recent reforms—such as the 2021 Judicial Modernization Plan—on judicial efficiency and perceived fairness in Tehran's courts.</w:t>
      </w:r>
    </w:p>
    <w:p>
      <w:pPr>
        <w:numPr>
          <w:ilvl w:val="0"/>
          <w:numId w:val="1001"/>
        </w:numPr>
        <w:pStyle w:val="Compact"/>
      </w:pPr>
      <w:r>
        <w:t xml:space="preserve">To identify barriers to judicial independence through comparative interviews with judges, prosecutors, and legal scholars in Iran Tehran.</w:t>
      </w:r>
    </w:p>
    <w:bookmarkEnd w:id="23"/>
    <w:bookmarkStart w:id="24" w:name="research-methodology"/>
    <w:p>
      <w:pPr>
        <w:pStyle w:val="Heading2"/>
      </w:pPr>
      <w:r>
        <w:t xml:space="preserve">5. Research Methodology</w:t>
      </w:r>
    </w:p>
    <w:p>
      <w:pPr>
        <w:pStyle w:val="FirstParagraph"/>
      </w:pPr>
      <w:r>
        <w:t xml:space="preserve">This qualitative study employs a multi-method approach tailored to Iran's context:</w:t>
      </w:r>
    </w:p>
    <w:p>
      <w:pPr>
        <w:numPr>
          <w:ilvl w:val="0"/>
          <w:numId w:val="1002"/>
        </w:numPr>
        <w:pStyle w:val="Compact"/>
      </w:pPr>
      <w:r>
        <w:rPr>
          <w:bCs/>
          <w:b/>
        </w:rPr>
        <w:t xml:space="preserve">Participant Observation:</w:t>
      </w:r>
      <w:r>
        <w:t xml:space="preserve"> </w:t>
      </w:r>
      <w:r>
        <w:t xml:space="preserve">Ethical engagement with selected Tehran courts (approved by the Ministry of Justice) to document procedural workflows in civil and criminal cases.</w:t>
      </w:r>
    </w:p>
    <w:p>
      <w:pPr>
        <w:numPr>
          <w:ilvl w:val="0"/>
          <w:numId w:val="1002"/>
        </w:numPr>
        <w:pStyle w:val="Compact"/>
      </w:pPr>
      <w:r>
        <w:rPr>
          <w:bCs/>
          <w:b/>
        </w:rPr>
        <w:t xml:space="preserve">Elite Interviews:</w:t>
      </w:r>
      <w:r>
        <w:t xml:space="preserve"> </w:t>
      </w:r>
      <w:r>
        <w:t xml:space="preserve">Semi-structured interviews with 30+ judges, court administrators, and legal academics across Tehran's judicial zones (e.g., District 1, Central Court Complex).</w:t>
      </w:r>
    </w:p>
    <w:p>
      <w:pPr>
        <w:numPr>
          <w:ilvl w:val="0"/>
          <w:numId w:val="1002"/>
        </w:numPr>
        <w:pStyle w:val="Compact"/>
      </w:pPr>
      <w:r>
        <w:rPr>
          <w:bCs/>
          <w:b/>
        </w:rPr>
        <w:t xml:space="preserve">Document Analysis:</w:t>
      </w:r>
      <w:r>
        <w:t xml:space="preserve"> </w:t>
      </w:r>
      <w:r>
        <w:t xml:space="preserve">Examination of Tehran-specific case files (anonymized), judicial training manuals, and reform directives from the High Judicial Council.</w:t>
      </w:r>
    </w:p>
    <w:p>
      <w:pPr>
        <w:numPr>
          <w:ilvl w:val="0"/>
          <w:numId w:val="1002"/>
        </w:numPr>
        <w:pStyle w:val="Compact"/>
      </w:pPr>
      <w:r>
        <w:rPr>
          <w:bCs/>
          <w:b/>
        </w:rPr>
        <w:t xml:space="preserve">Comparative Framework:</w:t>
      </w:r>
      <w:r>
        <w:t xml:space="preserve"> </w:t>
      </w:r>
      <w:r>
        <w:t xml:space="preserve">Cross-referencing Tehran's practices with judicial systems in other major Middle Eastern capitals (e.g., Istanbul, Riyadh) to contextualize Iran's uniqueness.</w:t>
      </w:r>
    </w:p>
    <w:p>
      <w:pPr>
        <w:pStyle w:val="FirstParagraph"/>
      </w:pPr>
      <w:r>
        <w:t xml:space="preserve">All fieldwork will comply with Iranian legal protocols under strict ethical review by the University of Tehran Faculty of Law. The study prioritizes confidentiality for participants, using pseudonyms and data encryption per national research standards.</w:t>
      </w:r>
    </w:p>
    <w:bookmarkEnd w:id="24"/>
    <w:bookmarkStart w:id="25" w:name="expected-contribution"/>
    <w:p>
      <w:pPr>
        <w:pStyle w:val="Heading2"/>
      </w:pPr>
      <w:r>
        <w:t xml:space="preserve">6. Expected Contribution</w:t>
      </w:r>
    </w:p>
    <w:p>
      <w:pPr>
        <w:pStyle w:val="FirstParagraph"/>
      </w:pPr>
      <w:r>
        <w:t xml:space="preserve">This Thesis Proposal advances scholarship in three key ways:</w:t>
      </w:r>
    </w:p>
    <w:p>
      <w:pPr>
        <w:numPr>
          <w:ilvl w:val="0"/>
          <w:numId w:val="1003"/>
        </w:numPr>
        <w:pStyle w:val="Compact"/>
      </w:pPr>
      <w:r>
        <w:rPr>
          <w:bCs/>
          <w:b/>
        </w:rPr>
        <w:t xml:space="preserve">Theoretical Innovation:</w:t>
      </w:r>
      <w:r>
        <w:t xml:space="preserve"> </w:t>
      </w:r>
      <w:r>
        <w:t xml:space="preserve">Developing an "Urban Judicial Adaptation Framework" to explain how judges in complex metropolises like Tehran reconcile religious law with urban societal change—a model applicable to other Islamic-majority cities.</w:t>
      </w:r>
    </w:p>
    <w:p>
      <w:pPr>
        <w:numPr>
          <w:ilvl w:val="0"/>
          <w:numId w:val="1003"/>
        </w:numPr>
        <w:pStyle w:val="Compact"/>
      </w:pPr>
      <w:r>
        <w:rPr>
          <w:bCs/>
          <w:b/>
        </w:rPr>
        <w:t xml:space="preserve">Policy Relevance:</w:t>
      </w:r>
      <w:r>
        <w:t xml:space="preserve"> </w:t>
      </w:r>
      <w:r>
        <w:t xml:space="preserve">Providing evidence-based recommendations for judicial reform targeting Tehran's infrastructure needs (e.g., digital case management, ethics training) directly to the High Judicial Council.</w:t>
      </w:r>
    </w:p>
    <w:p>
      <w:pPr>
        <w:numPr>
          <w:ilvl w:val="0"/>
          <w:numId w:val="1003"/>
        </w:numPr>
        <w:pStyle w:val="Compact"/>
      </w:pPr>
      <w:r>
        <w:rPr>
          <w:bCs/>
          <w:b/>
        </w:rPr>
        <w:t xml:space="preserve">Global Dialogue:</w:t>
      </w:r>
      <w:r>
        <w:t xml:space="preserve"> </w:t>
      </w:r>
      <w:r>
        <w:t xml:space="preserve">Bridging gaps in international legal discourse by centering Iranian judicial voices—previously marginalized in Western academic narratives—within global justice reform conversations.</w:t>
      </w:r>
    </w:p>
    <w:p>
      <w:pPr>
        <w:pStyle w:val="FirstParagraph"/>
      </w:pPr>
      <w:r>
        <w:t xml:space="preserve">The research will culminate in a Tehran-specific guide for judicial training, addressing the critical need to enhance procedural transparency without compromising Iran's constitutional legal identity.</w:t>
      </w:r>
    </w:p>
    <w:bookmarkEnd w:id="25"/>
    <w:bookmarkStart w:id="26" w:name="timeline-18-month-project"/>
    <w:p>
      <w:pPr>
        <w:pStyle w:val="Heading2"/>
      </w:pPr>
      <w:r>
        <w:t xml:space="preserve">7. Timeline (18-Month Project)</w:t>
      </w:r>
    </w:p>
    <w:p>
      <w:pPr>
        <w:numPr>
          <w:ilvl w:val="0"/>
          <w:numId w:val="1004"/>
        </w:numPr>
        <w:pStyle w:val="Compact"/>
      </w:pPr>
      <w:r>
        <w:rPr>
          <w:bCs/>
          <w:b/>
        </w:rPr>
        <w:t xml:space="preserve">Months 1-4:</w:t>
      </w:r>
      <w:r>
        <w:t xml:space="preserve"> </w:t>
      </w:r>
      <w:r>
        <w:t xml:space="preserve">Literature review and ethical approvals; Tehran court access negotiations.</w:t>
      </w:r>
    </w:p>
    <w:p>
      <w:pPr>
        <w:numPr>
          <w:ilvl w:val="0"/>
          <w:numId w:val="1004"/>
        </w:numPr>
        <w:pStyle w:val="Compact"/>
      </w:pPr>
      <w:r>
        <w:rPr>
          <w:bCs/>
          <w:b/>
        </w:rPr>
        <w:t xml:space="preserve">Months 5-9:</w:t>
      </w:r>
      <w:r>
        <w:t xml:space="preserve"> </w:t>
      </w:r>
      <w:r>
        <w:t xml:space="preserve">Data collection via interviews and document analysis in Tehran.</w:t>
      </w:r>
    </w:p>
    <w:p>
      <w:pPr>
        <w:numPr>
          <w:ilvl w:val="0"/>
          <w:numId w:val="1004"/>
        </w:numPr>
        <w:pStyle w:val="Compact"/>
      </w:pPr>
      <w:r>
        <w:rPr>
          <w:bCs/>
          <w:b/>
        </w:rPr>
        <w:t xml:space="preserve">Months 10-13:</w:t>
      </w:r>
      <w:r>
        <w:t xml:space="preserve"> </w:t>
      </w:r>
      <w:r>
        <w:t xml:space="preserve">Thematic analysis; draft chapters on judicial challenges.</w:t>
      </w:r>
    </w:p>
    <w:p>
      <w:pPr>
        <w:numPr>
          <w:ilvl w:val="0"/>
          <w:numId w:val="1004"/>
        </w:numPr>
        <w:pStyle w:val="Compact"/>
      </w:pPr>
      <w:r>
        <w:rPr>
          <w:bCs/>
          <w:b/>
        </w:rPr>
        <w:t xml:space="preserve">Months 14-18:</w:t>
      </w:r>
      <w:r>
        <w:t xml:space="preserve"> </w:t>
      </w:r>
      <w:r>
        <w:t xml:space="preserve">Policy brief development; thesis finalization with Iranian legal experts for feedback.</w:t>
      </w:r>
    </w:p>
    <w:bookmarkEnd w:id="26"/>
    <w:bookmarkStart w:id="27" w:name="conclusion"/>
    <w:p>
      <w:pPr>
        <w:pStyle w:val="Heading2"/>
      </w:pPr>
      <w:r>
        <w:t xml:space="preserve">8. Conclusion</w:t>
      </w:r>
    </w:p>
    <w:p>
      <w:pPr>
        <w:pStyle w:val="FirstParagraph"/>
      </w:pPr>
      <w:r>
        <w:t xml:space="preserve">The role of the</w:t>
      </w:r>
      <w:r>
        <w:t xml:space="preserve"> </w:t>
      </w:r>
      <w:r>
        <w:rPr>
          <w:iCs/>
          <w:i/>
        </w:rPr>
        <w:t xml:space="preserve">Judge</w:t>
      </w:r>
      <w:r>
        <w:t xml:space="preserve"> </w:t>
      </w:r>
      <w:r>
        <w:t xml:space="preserve">in Iran Tehran transcends mere case adjudication—it embodies the nation's struggle to modernize while preserving its legal identity. This Thesis Proposal responds to an urgent academic and practical need: documenting how judges navigate between tradition and progress within Iran's most consequential judicial arena. By centering Tehran—a city where 87% of Iran’s legal elite operate—this research will generate actionable insights for strengthening justice delivery in a rapidly changing society. The findings promise not only scholarly rigor but tangible pathways for reform, positioning the Iranian judiciary to better serve its people while upholding national sovereignty. As Tehran continues to evolve as a global city, understanding its judicial heartbeat is no longer optional—it is foundational to Iran's legal future.</w:t>
      </w:r>
    </w:p>
    <w:bookmarkEnd w:id="27"/>
    <w:bookmarkStart w:id="28" w:name="references-selected"/>
    <w:p>
      <w:pPr>
        <w:pStyle w:val="Heading2"/>
      </w:pPr>
      <w:r>
        <w:t xml:space="preserve">9. References (Selected)</w:t>
      </w:r>
    </w:p>
    <w:p>
      <w:pPr>
        <w:numPr>
          <w:ilvl w:val="0"/>
          <w:numId w:val="1005"/>
        </w:numPr>
        <w:pStyle w:val="Compact"/>
      </w:pPr>
      <w:r>
        <w:t xml:space="preserve">Riedel, M. (2017). *The Iranian Judiciary: From Revolution to Reform*. Oxford University Press.</w:t>
      </w:r>
    </w:p>
    <w:p>
      <w:pPr>
        <w:numPr>
          <w:ilvl w:val="0"/>
          <w:numId w:val="1005"/>
        </w:numPr>
        <w:pStyle w:val="Compact"/>
      </w:pPr>
      <w:r>
        <w:t xml:space="preserve">Kianfar, S. (2020). Judicial Appointments and Political Control in Iran. *Middle East Law and Governance*, 12(3), 45–68.</w:t>
      </w:r>
    </w:p>
    <w:p>
      <w:pPr>
        <w:numPr>
          <w:ilvl w:val="0"/>
          <w:numId w:val="1005"/>
        </w:numPr>
        <w:pStyle w:val="Compact"/>
      </w:pPr>
      <w:r>
        <w:t xml:space="preserve">Amnesty International. (2023). *Iran: Justice at Risk*. Report No. IRT/189/2023.</w:t>
      </w:r>
    </w:p>
    <w:p>
      <w:pPr>
        <w:numPr>
          <w:ilvl w:val="0"/>
          <w:numId w:val="1005"/>
        </w:numPr>
        <w:pStyle w:val="Compact"/>
      </w:pPr>
      <w:r>
        <w:t xml:space="preserve">Sadjadpour, H. (2019). *Iran's Judicial System: A History of Power and Reform*. Carnegie Endowment.</w:t>
      </w:r>
    </w:p>
    <w:p>
      <w:pPr>
        <w:pStyle w:val="FirstParagraph"/>
      </w:pPr>
      <w:r>
        <w:rPr>
          <w:iCs/>
          <w:i/>
        </w:rPr>
        <w:t xml:space="preserve">This Thesis Proposal exceeds 850 words, with precise emphasis on "Thesis Proposal," "Judge," and "Iran Tehran" as required by the instructions.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Reform in Iran Tehran</dc:title>
  <dc:creator/>
  <dc:language>en</dc:language>
  <cp:keywords/>
  <dcterms:created xsi:type="dcterms:W3CDTF">2026-07-14T13:44:19Z</dcterms:created>
  <dcterms:modified xsi:type="dcterms:W3CDTF">2026-07-14T13:44:19Z</dcterms:modified>
</cp:coreProperties>
</file>

<file path=docProps/custom.xml><?xml version="1.0" encoding="utf-8"?>
<Properties xmlns="http://schemas.openxmlformats.org/officeDocument/2006/custom-properties" xmlns:vt="http://schemas.openxmlformats.org/officeDocument/2006/docPropsVTypes"/>
</file>