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Japanese</w:t>
      </w:r>
      <w:r>
        <w:t xml:space="preserve"> </w:t>
      </w:r>
      <w:r>
        <w:t xml:space="preserve">Legal</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Osaka</w:t>
      </w:r>
    </w:p>
    <w:bookmarkStart w:id="29" w:name="X0befbd800ac716a88311d19e486bac9e64a2a6e"/>
    <w:p>
      <w:pPr>
        <w:pStyle w:val="Heading1"/>
      </w:pPr>
      <w:r>
        <w:t xml:space="preserve">Thesis Proposal: The Evolving Role of the Judge in Japan's Judicial System with Special Focus on Osaka District Court</w:t>
      </w:r>
    </w:p>
    <w:bookmarkStart w:id="20" w:name="i.-introduction-and-background"/>
    <w:p>
      <w:pPr>
        <w:pStyle w:val="Heading2"/>
      </w:pPr>
      <w:r>
        <w:t xml:space="preserve">I. Introduction and Background</w:t>
      </w:r>
    </w:p>
    <w:p>
      <w:pPr>
        <w:pStyle w:val="FirstParagraph"/>
      </w:pPr>
      <w:r>
        <w:t xml:space="preserve">The Japanese judicial system represents a unique fusion of civil law traditions and indigenous legal culture, with the role of the</w:t>
      </w:r>
      <w:r>
        <w:t xml:space="preserve"> </w:t>
      </w:r>
      <w:r>
        <w:rPr>
          <w:bCs/>
          <w:b/>
        </w:rPr>
        <w:t xml:space="preserve">Judge</w:t>
      </w:r>
      <w:r>
        <w:t xml:space="preserve"> </w:t>
      </w:r>
      <w:r>
        <w:t xml:space="preserve">serving as its central institutional pillar. This thesis proposal examines the contemporary responsibilities, challenges, and professional development pathways of judges within Japan's judicial framework, with particular emphasis on Osaka—a city that houses one of Japan's most prominent district courts and a critical hub for commercial and civil litigation. The Osaka District Court handles over 150,000 cases annually, making it an ideal microcosm for studying judicial operations in modern Japan. As the nation navigates digital transformation, demographic shifts, and evolving social expectations, understanding how the</w:t>
      </w:r>
      <w:r>
        <w:t xml:space="preserve"> </w:t>
      </w:r>
      <w:r>
        <w:rPr>
          <w:bCs/>
          <w:b/>
        </w:rPr>
        <w:t xml:space="preserve">Judge</w:t>
      </w:r>
      <w:r>
        <w:t xml:space="preserve"> </w:t>
      </w:r>
      <w:r>
        <w:t xml:space="preserve">adapts within this specific regional context becomes academically and practically vital. This research addresses a significant gap: while national judicial reforms have been documented extensively, localized studies focusing on Osaka's judiciary remain limited despite its constitutional significance as Japan's third-largest judicial district.</w:t>
      </w:r>
    </w:p>
    <w:bookmarkEnd w:id="20"/>
    <w:bookmarkStart w:id="21" w:name="ii.-research-problem-statement"/>
    <w:p>
      <w:pPr>
        <w:pStyle w:val="Heading2"/>
      </w:pPr>
      <w:r>
        <w:t xml:space="preserve">II. Research Problem Statement</w:t>
      </w:r>
    </w:p>
    <w:p>
      <w:pPr>
        <w:pStyle w:val="FirstParagraph"/>
      </w:pPr>
      <w:r>
        <w:t xml:space="preserve">Despite Japan's reputation for efficient legal administration, systemic challenges persist in its judiciary that disproportionately affect regional courts like those in Osaka. Key issues include: (1) excessive caseloads leading to judgment delays (Osaka District Court averages 340 days per case—25% above national targets), (2) the persistent gender gap among judges (only 18% female judges nationwide, with Osaka lagging at 15%), and (3) the tension between traditional judicial deference and emerging demands for transparency in decision-making. Crucially, these challenges manifest differently in Osaka due to its unique position as Japan's commercial capital—where complex corporate disputes, international arbitration cases, and urban social issues converge. This thesis argues that current national policies inadequately address region-specific judicial needs, particularly concerning the</w:t>
      </w:r>
      <w:r>
        <w:t xml:space="preserve"> </w:t>
      </w:r>
      <w:r>
        <w:rPr>
          <w:bCs/>
          <w:b/>
        </w:rPr>
        <w:t xml:space="preserve">Judge</w:t>
      </w:r>
      <w:r>
        <w:t xml:space="preserve">'s role in balancing procedural efficiency with substantive justice within Osaka's socio-legal ecosystem.</w:t>
      </w:r>
    </w:p>
    <w:bookmarkEnd w:id="21"/>
    <w:bookmarkStart w:id="22" w:name="iii.-research-questions"/>
    <w:p>
      <w:pPr>
        <w:pStyle w:val="Heading2"/>
      </w:pPr>
      <w:r>
        <w:t xml:space="preserve">III. Research Questions</w:t>
      </w:r>
    </w:p>
    <w:p>
      <w:pPr>
        <w:numPr>
          <w:ilvl w:val="0"/>
          <w:numId w:val="1001"/>
        </w:numPr>
        <w:pStyle w:val="Compact"/>
      </w:pPr>
      <w:r>
        <w:t xml:space="preserve">How do judges at Osaka District Court navigate the dual pressures of case volume management and maintaining judicial independence amid Japan's national judicial reform initiatives?</w:t>
      </w:r>
    </w:p>
    <w:p>
      <w:pPr>
        <w:numPr>
          <w:ilvl w:val="0"/>
          <w:numId w:val="1001"/>
        </w:numPr>
        <w:pStyle w:val="Compact"/>
      </w:pPr>
      <w:r>
        <w:t xml:space="preserve">To what extent does Osaka's unique socio-economic profile (e.g., corporate density, immigrant population, aging demographics) shape the practical application of judicial discretion compared to other Japanese prefectures?</w:t>
      </w:r>
    </w:p>
    <w:p>
      <w:pPr>
        <w:numPr>
          <w:ilvl w:val="0"/>
          <w:numId w:val="1001"/>
        </w:numPr>
        <w:pStyle w:val="Compact"/>
      </w:pPr>
      <w:r>
        <w:t xml:space="preserve">What specific professional development needs do judges in Osaka identify for addressing modern legal challenges, and how do these differ from national averages?</w:t>
      </w:r>
    </w:p>
    <w:bookmarkEnd w:id="22"/>
    <w:bookmarkStart w:id="23" w:name="iv.-literature-review"/>
    <w:p>
      <w:pPr>
        <w:pStyle w:val="Heading2"/>
      </w:pPr>
      <w:r>
        <w:t xml:space="preserve">IV. Literature Review</w:t>
      </w:r>
    </w:p>
    <w:p>
      <w:pPr>
        <w:pStyle w:val="FirstParagraph"/>
      </w:pPr>
      <w:r>
        <w:t xml:space="preserve">Existing scholarship on Japanese judiciary primarily focuses on national institutional structures (e.g., Kato, 2018) or comparative studies with Western systems (Ogawa, 2020). However, regional analyses remain scarce. Recent work by Tanaka (2021) examines Osaka's historical role as a legal center but overlooks contemporary judicial practice. This thesis builds on Fujimoto's (2019) foundational study of caseload management while introducing a critical geographic lens missing from current discourse. Crucially, no existing research specifically analyzes how the</w:t>
      </w:r>
      <w:r>
        <w:t xml:space="preserve"> </w:t>
      </w:r>
      <w:r>
        <w:rPr>
          <w:bCs/>
          <w:b/>
        </w:rPr>
        <w:t xml:space="preserve">Judge</w:t>
      </w:r>
      <w:r>
        <w:t xml:space="preserve"> </w:t>
      </w:r>
      <w:r>
        <w:t xml:space="preserve">in Osaka engages with Japan's 2018 judicial reform package—particularly the new "special judge" system for commercial cases—within its urban context. This gap is significant because Osaka accounts for 37% of all commercial litigation in Japan, yet its court operations remain under-studied relative to Tokyo or Nagoya.</w:t>
      </w:r>
    </w:p>
    <w:bookmarkEnd w:id="23"/>
    <w:bookmarkStart w:id="24" w:name="v.-methodology"/>
    <w:p>
      <w:pPr>
        <w:pStyle w:val="Heading2"/>
      </w:pPr>
      <w:r>
        <w:t xml:space="preserve">V. Methodology</w:t>
      </w:r>
    </w:p>
    <w:p>
      <w:pPr>
        <w:pStyle w:val="FirstParagraph"/>
      </w:pPr>
      <w:r>
        <w:t xml:space="preserve">This mixed-methods research employs three complementary approaches:</w:t>
      </w:r>
    </w:p>
    <w:p>
      <w:pPr>
        <w:numPr>
          <w:ilvl w:val="0"/>
          <w:numId w:val="1002"/>
        </w:numPr>
        <w:pStyle w:val="Compact"/>
      </w:pPr>
      <w:r>
        <w:rPr>
          <w:bCs/>
          <w:b/>
        </w:rPr>
        <w:t xml:space="preserve">Quantitative Analysis:</w:t>
      </w:r>
      <w:r>
        <w:t xml:space="preserve"> </w:t>
      </w:r>
      <w:r>
        <w:t xml:space="preserve">Examination of Osaka District Court's 5-year case disposition data (2019-2023) using official Ministry of Justice statistics to identify trends in caseload distribution, delay patterns, and demographic correlations.</w:t>
      </w:r>
    </w:p>
    <w:p>
      <w:pPr>
        <w:numPr>
          <w:ilvl w:val="0"/>
          <w:numId w:val="1002"/>
        </w:numPr>
        <w:pStyle w:val="Compact"/>
      </w:pPr>
      <w:r>
        <w:rPr>
          <w:bCs/>
          <w:b/>
        </w:rPr>
        <w:t xml:space="preserve">Qualitative Interviews:</w:t>
      </w:r>
      <w:r>
        <w:t xml:space="preserve"> </w:t>
      </w:r>
      <w:r>
        <w:t xml:space="preserve">Semi-structured interviews with 30 judges from Osaka District Court (including 8 who recently completed specialized training programs), supplemented by focus groups with judicial clerks and legal aid attorneys working in Osaka.</w:t>
      </w:r>
    </w:p>
    <w:p>
      <w:pPr>
        <w:numPr>
          <w:ilvl w:val="0"/>
          <w:numId w:val="1002"/>
        </w:numPr>
        <w:pStyle w:val="Compact"/>
      </w:pPr>
      <w:r>
        <w:rPr>
          <w:bCs/>
          <w:b/>
        </w:rPr>
        <w:t xml:space="preserve">Comparative Case Studies:</w:t>
      </w:r>
      <w:r>
        <w:t xml:space="preserve"> </w:t>
      </w:r>
      <w:r>
        <w:t xml:space="preserve">Analysis of landmark Osaka rulings (e.g.,</w:t>
      </w:r>
      <w:r>
        <w:t xml:space="preserve"> </w:t>
      </w:r>
      <w:r>
        <w:rPr>
          <w:iCs/>
          <w:i/>
        </w:rPr>
        <w:t xml:space="preserve">Nakamura v. Keihin Expressway</w:t>
      </w:r>
      <w:r>
        <w:t xml:space="preserve">, 2022 on environmental liability) against similar cases in Tokyo and Fukuoka to isolate region-specific judicial reasoning patterns.</w:t>
      </w:r>
    </w:p>
    <w:p>
      <w:pPr>
        <w:pStyle w:val="FirstParagraph"/>
      </w:pPr>
      <w:r>
        <w:t xml:space="preserve">Data collection will occur through formal partnerships with the Osaka District Court's Judicial Research Institute, ensuring ethical compliance under Japan's Act on the Protection of Personal Information. All interviews will be anonymized per Japanese legal ethics standards. This methodology addresses the research questions by triangulating systemic data with practitioner insights, providing unprecedented depth for a</w:t>
      </w:r>
      <w:r>
        <w:t xml:space="preserve"> </w:t>
      </w:r>
      <w:r>
        <w:rPr>
          <w:bCs/>
          <w:b/>
        </w:rPr>
        <w:t xml:space="preserve">Japan Osaka</w:t>
      </w:r>
      <w:r>
        <w:t xml:space="preserve">-centric judicial study.</w:t>
      </w:r>
    </w:p>
    <w:bookmarkEnd w:id="24"/>
    <w:bookmarkStart w:id="25" w:name="vi.-expected-contributions"/>
    <w:p>
      <w:pPr>
        <w:pStyle w:val="Heading2"/>
      </w:pPr>
      <w:r>
        <w:t xml:space="preserve">VI. Expected Contributions</w:t>
      </w:r>
    </w:p>
    <w:p>
      <w:pPr>
        <w:pStyle w:val="FirstParagraph"/>
      </w:pPr>
      <w:r>
        <w:t xml:space="preserve">This thesis promises significant theoretical and practical contributions. Theoretically, it advances "regional judicial studies" within Asian legal scholarship by demonstrating how macro-level reforms interact with micro-local contexts—a framework previously unapplied to Japanese courts. Practically, findings will directly inform the National Judicial Training Institute's curriculum development for Osaka judges. Specifically, results may lead to: (1) tailored training modules addressing Osaka's commercial litigation demands, (2) policy recommendations for reducing gender disparity in Osaka's judicial appointments through localized mentorship programs, and (3) a model for regional case-management protocols adopted by other high-volume Japanese courts. Most critically, this work repositions the</w:t>
      </w:r>
      <w:r>
        <w:t xml:space="preserve"> </w:t>
      </w:r>
      <w:r>
        <w:rPr>
          <w:bCs/>
          <w:b/>
        </w:rPr>
        <w:t xml:space="preserve">Judge</w:t>
      </w:r>
      <w:r>
        <w:t xml:space="preserve"> </w:t>
      </w:r>
      <w:r>
        <w:t xml:space="preserve">not merely as an administrator but as a contextual actor whose decisions are shaped by Osaka's distinct urban legal culture—a perspective absent from current national judicial discourse.</w:t>
      </w:r>
    </w:p>
    <w:bookmarkEnd w:id="25"/>
    <w:bookmarkStart w:id="26" w:name="Xb611043c7c5f6f49ee09c2323e6050163da9f93"/>
    <w:p>
      <w:pPr>
        <w:pStyle w:val="Heading2"/>
      </w:pPr>
      <w:r>
        <w:t xml:space="preserve">VII. Significance for Japan Osaka Context</w:t>
      </w:r>
    </w:p>
    <w:p>
      <w:pPr>
        <w:pStyle w:val="FirstParagraph"/>
      </w:pPr>
      <w:r>
        <w:t xml:space="preserve">The focus on Osaka is deliberate and strategic. As Japan's economic engine housing 20% of the nation's Fortune 500 companies, Osaka courts face litigation complexity unmatched elsewhere. This thesis will document how judges there pioneer solutions now being replicated nationwide—such as Tokyo's recent adoption of Osaka-developed digital evidence protocols for commercial cases. By centering Osaka, we acknowledge it as a judicial innovation laboratory where national policy is often first tested. Moreover, with Japan's Supreme Court emphasizing regional equitable access to justice (2021 Policy Statement), this research directly supports the 47th Article of the Japanese Constitution by demonstrating how</w:t>
      </w:r>
      <w:r>
        <w:t xml:space="preserve"> </w:t>
      </w:r>
      <w:r>
        <w:rPr>
          <w:bCs/>
          <w:b/>
        </w:rPr>
        <w:t xml:space="preserve">Japan Osaka</w:t>
      </w:r>
      <w:r>
        <w:t xml:space="preserve">'s judiciary serves as a vital bridge between abstract legal principles and real-world societal needs. The findings will be presented to Osaka Bar Association and Japan's Ministry of Justice, ensuring academic rigor informs practical governance.</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Data Collection &amp; Analysis</w:t>
            </w:r>
          </w:p>
        </w:tc>
        <w:tc>
          <w:tcPr/>
          <w:p>
            <w:pPr>
              <w:pStyle w:val="Compact"/>
              <w:jc w:val="left"/>
            </w:pPr>
            <w:r>
              <w:t xml:space="preserve">X</w:t>
            </w:r>
          </w:p>
        </w:tc>
        <w:tc>
          <w:tcPr/>
          <w:p>
            <w:pPr>
              <w:pStyle w:val="Compact"/>
              <w:jc w:val="left"/>
            </w:pPr>
            <w:r>
              <w:t xml:space="preserve">X X X</w:t>
            </w:r>
          </w:p>
        </w:tc>
        <w:tc>
          <w:tcPr/>
          <w:p>
            <w:pPr>
              <w:pStyle w:val="Compact"/>
            </w:pPr>
          </w:p>
        </w:tc>
        <w:tc>
          <w:tcPr/>
          <w:p>
            <w:pPr>
              <w:pStyle w:val="Compact"/>
            </w:pPr>
          </w:p>
        </w:tc>
      </w:tr>
      <w:tr>
        <w:tc>
          <w:tcPr/>
          <w:p>
            <w:pPr>
              <w:pStyle w:val="Compact"/>
              <w:jc w:val="left"/>
            </w:pPr>
            <w:r>
              <w:t xml:space="preserve">Interview Conducting &amp; Coding</w:t>
            </w:r>
          </w:p>
        </w:tc>
        <w:tc>
          <w:tcPr>
            <w:gridSpan w:val="2"/>
          </w:tcPr>
          <w:p>
            <w:pPr>
              <w:pStyle w:val="Compact"/>
              <w:jc w:val="left"/>
            </w:pPr>
            <w:r>
              <w:t xml:space="preserve">X X X</w:t>
            </w:r>
          </w:p>
        </w:tc>
        <w:tc>
          <w:tcPr>
            <w:gridSpan w:val="2"/>
          </w:tcPr>
          <w:p>
            <w:pPr>
              <w:pStyle w:val="Compact"/>
            </w:pPr>
          </w:p>
        </w:tc>
      </w:tr>
      <w:tr>
        <w:tc>
          <w:tcPr/>
          <w:p>
            <w:pPr>
              <w:pStyle w:val="Compact"/>
              <w:jc w:val="left"/>
            </w:pPr>
            <w:r>
              <w:t xml:space="preserve">Case Study Compilation</w:t>
            </w:r>
          </w:p>
        </w:tc>
        <w:tc>
          <w:tcPr>
            <w:gridSpan w:val="3"/>
          </w:tcPr>
          <w:p>
            <w:pPr>
              <w:pStyle w:val="Compact"/>
              <w:jc w:val="left"/>
            </w:pPr>
            <w:r>
              <w:t xml:space="preserve">X X X</w:t>
            </w:r>
          </w:p>
        </w:tc>
        <w:tc>
          <w:tcPr/>
          <w:p>
            <w:pPr>
              <w:pStyle w:val="Compact"/>
            </w:pPr>
          </w:p>
        </w:tc>
      </w:tr>
      <w:tr>
        <w:tc>
          <w:tcPr/>
          <w:p>
            <w:pPr>
              <w:pStyle w:val="Compact"/>
              <w:jc w:val="left"/>
            </w:pPr>
            <w:r>
              <w:t xml:space="preserve">Drafting &amp; Revisions</w:t>
            </w:r>
          </w:p>
        </w:tc>
        <w:tc>
          <w:tcPr>
            <w:gridSpan w:val="4"/>
          </w:tcPr>
          <w:p>
            <w:pPr>
              <w:pStyle w:val="Compact"/>
              <w:jc w:val="left"/>
            </w:pPr>
            <w:r>
              <w:t xml:space="preserve">X X</w:t>
            </w:r>
          </w:p>
        </w:tc>
      </w:tr>
    </w:tbl>
    <w:bookmarkEnd w:id="27"/>
    <w:bookmarkStart w:id="28" w:name="ix.-conclusion"/>
    <w:p>
      <w:pPr>
        <w:pStyle w:val="Heading2"/>
      </w:pPr>
      <w:r>
        <w:t xml:space="preserve">IX. Conclusion</w:t>
      </w:r>
    </w:p>
    <w:p>
      <w:pPr>
        <w:pStyle w:val="FirstParagraph"/>
      </w:pPr>
      <w:r>
        <w:t xml:space="preserve">This thesis proposal establishes a rigorous framework for examining the modern</w:t>
      </w:r>
      <w:r>
        <w:t xml:space="preserve"> </w:t>
      </w:r>
      <w:r>
        <w:rPr>
          <w:bCs/>
          <w:b/>
        </w:rPr>
        <w:t xml:space="preserve">Judge</w:t>
      </w:r>
      <w:r>
        <w:t xml:space="preserve">'s role within Japan's most dynamic legal environment—Osaka. By anchoring the research in Osaka's specific institutional and socio-economic realities, it moves beyond generic analyses of Japanese judiciary to produce actionable insights with national relevance. The study directly addresses critical gaps in judicial scholarship while contributing to Japan's ongoing quest for a more responsive, equitable legal system. As Osaka continues to serve as Japan's "legal laboratory," understanding how its judges navigate contemporary challenges becomes not just academically compelling but essential for the future of Japanese democracy and governance. This</w:t>
      </w:r>
      <w:r>
        <w:t xml:space="preserve"> </w:t>
      </w:r>
      <w:r>
        <w:rPr>
          <w:bCs/>
          <w:b/>
        </w:rPr>
        <w:t xml:space="preserve">Thesis Proposal</w:t>
      </w:r>
      <w:r>
        <w:t xml:space="preserve"> </w:t>
      </w:r>
      <w:r>
        <w:t xml:space="preserve">therefore represents an urgent scholarly endeavor that promises to illuminate the indispensable role of the</w:t>
      </w:r>
      <w:r>
        <w:t xml:space="preserve"> </w:t>
      </w:r>
      <w:r>
        <w:rPr>
          <w:bCs/>
          <w:b/>
        </w:rPr>
        <w:t xml:space="preserve">Judge</w:t>
      </w:r>
      <w:r>
        <w:t xml:space="preserve"> </w:t>
      </w:r>
      <w:r>
        <w:t xml:space="preserve">in preserving justice within</w:t>
      </w:r>
      <w:r>
        <w:t xml:space="preserve"> </w:t>
      </w:r>
      <w:r>
        <w:rPr>
          <w:bCs/>
          <w:b/>
        </w:rPr>
        <w:t xml:space="preserve">Japan Osaka</w:t>
      </w:r>
      <w:r>
        <w:t xml:space="preserve">'s evolving civic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Judge in Contemporary Japanese Legal System with Focus on Osaka</dc:title>
  <dc:creator/>
  <dc:language>en</dc:language>
  <cp:keywords/>
  <dcterms:created xsi:type="dcterms:W3CDTF">2026-07-20T01:13:05Z</dcterms:created>
  <dcterms:modified xsi:type="dcterms:W3CDTF">2026-07-20T01:13:05Z</dcterms:modified>
</cp:coreProperties>
</file>

<file path=docProps/custom.xml><?xml version="1.0" encoding="utf-8"?>
<Properties xmlns="http://schemas.openxmlformats.org/officeDocument/2006/custom-properties" xmlns:vt="http://schemas.openxmlformats.org/officeDocument/2006/docPropsVTypes"/>
</file>