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City's</w:t>
      </w:r>
      <w:r>
        <w:t xml:space="preserve"> </w:t>
      </w:r>
      <w:r>
        <w:t xml:space="preserve">Judicial</w:t>
      </w:r>
      <w:r>
        <w:t xml:space="preserve"> </w:t>
      </w:r>
      <w:r>
        <w:t xml:space="preserve">System</w:t>
      </w:r>
    </w:p>
    <w:bookmarkStart w:id="29" w:name="X3c30d7657650ef3b0cd440c0fc01e58124438ad"/>
    <w:p>
      <w:pPr>
        <w:pStyle w:val="Heading1"/>
      </w:pPr>
      <w:r>
        <w:t xml:space="preserve">Thesis Proposal: The Critical Role of the Judge in Upholding Justice within Kuwait City's Legal Framework</w:t>
      </w:r>
    </w:p>
    <w:bookmarkStart w:id="20" w:name="introduction"/>
    <w:p>
      <w:pPr>
        <w:pStyle w:val="Heading2"/>
      </w:pPr>
      <w:r>
        <w:t xml:space="preserve">Introduction</w:t>
      </w:r>
    </w:p>
    <w:p>
      <w:pPr>
        <w:pStyle w:val="FirstParagraph"/>
      </w:pPr>
      <w:r>
        <w:t xml:space="preserve">The judicial system represents the cornerstone of governance and societal order in any modern nation-state. In the context of Kuwait, a nation with deep-rooted legal traditions and a rapidly evolving socio-economic landscape, the role of the</w:t>
      </w:r>
      <w:r>
        <w:t xml:space="preserve"> </w:t>
      </w:r>
      <w:r>
        <w:rPr>
          <w:iCs/>
          <w:i/>
        </w:rPr>
        <w:t xml:space="preserve">Judge</w:t>
      </w:r>
      <w:r>
        <w:t xml:space="preserve"> </w:t>
      </w:r>
      <w:r>
        <w:t xml:space="preserve">assumes exceptional significance. This</w:t>
      </w:r>
      <w:r>
        <w:t xml:space="preserve"> </w:t>
      </w:r>
      <w:r>
        <w:rPr>
          <w:bCs/>
          <w:b/>
        </w:rPr>
        <w:t xml:space="preserve">Thesis Proposal</w:t>
      </w:r>
      <w:r>
        <w:t xml:space="preserve"> </w:t>
      </w:r>
      <w:r>
        <w:t xml:space="preserve">meticulously examines the multifaceted responsibilities, challenges, and evolving dynamics faced by judges operating within Kuwait City—the political, economic, and judicial epicenter of Kuwait. As the capital city houses all major judicial institutions including the Court of Cassation, the Supreme Court, and numerous lower courts handling civil and criminal matters daily, understanding how</w:t>
      </w:r>
      <w:r>
        <w:t xml:space="preserve"> </w:t>
      </w:r>
      <w:r>
        <w:rPr>
          <w:bCs/>
          <w:b/>
        </w:rPr>
        <w:t xml:space="preserve">Judge</w:t>
      </w:r>
      <w:r>
        <w:t xml:space="preserve"> </w:t>
      </w:r>
      <w:r>
        <w:t xml:space="preserve">functions within this unique environment is paramount to assessing Kuwait's commitment to justice in a contemporary context. The proposed research directly addresses a critical gap: while Kuwait’s legal reforms have been extensively documented, the lived experiences and professional challenges of judges operating within</w:t>
      </w:r>
      <w:r>
        <w:t xml:space="preserve"> </w:t>
      </w:r>
      <w:r>
        <w:rPr>
          <w:iCs/>
          <w:i/>
        </w:rPr>
        <w:t xml:space="preserve">Kuwait City</w:t>
      </w:r>
      <w:r>
        <w:t xml:space="preserve"> </w:t>
      </w:r>
      <w:r>
        <w:t xml:space="preserve">remain underexplored, despite their direct impact on citizens' lives.</w:t>
      </w:r>
    </w:p>
    <w:bookmarkEnd w:id="20"/>
    <w:bookmarkStart w:id="21" w:name="literature-review-and-contextual-gap"/>
    <w:p>
      <w:pPr>
        <w:pStyle w:val="Heading2"/>
      </w:pPr>
      <w:r>
        <w:t xml:space="preserve">Literature Review and Contextual Gap</w:t>
      </w:r>
    </w:p>
    <w:p>
      <w:pPr>
        <w:pStyle w:val="FirstParagraph"/>
      </w:pPr>
      <w:r>
        <w:t xml:space="preserve">Existing scholarship on Kuwaiti law predominantly focuses on legislative frameworks or comparative analyses with other Gulf Cooperation Council (GCC) states. Studies by scholars like Al-Harbi (2018) and Al-Saadi (2020) detail statutory reforms, yet neglect the human element within the judiciary. Similarly, works examining Islamic jurisprudence in Kuwait often overlook how</w:t>
      </w:r>
      <w:r>
        <w:t xml:space="preserve"> </w:t>
      </w:r>
      <w:r>
        <w:rPr>
          <w:iCs/>
          <w:i/>
        </w:rPr>
        <w:t xml:space="preserve">Judge</w:t>
      </w:r>
      <w:r>
        <w:t xml:space="preserve"> </w:t>
      </w:r>
      <w:r>
        <w:t xml:space="preserve">applies religious principles alongside civil codes in practice. Crucially, no comprehensive study has centered on judges operating specifically within</w:t>
      </w:r>
      <w:r>
        <w:t xml:space="preserve"> </w:t>
      </w:r>
      <w:r>
        <w:rPr>
          <w:bCs/>
          <w:b/>
        </w:rPr>
        <w:t xml:space="preserve">Kuwait City</w:t>
      </w:r>
      <w:r>
        <w:t xml:space="preserve">, where high caseloads, complex commercial disputes involving multinational entities, and the interplay of tribal customs with codified law create a unique professional environment. This research fills that void by prioritizing the voice and experience of judges as key actors in Kuwait's legal ecosystem.</w:t>
      </w:r>
    </w:p>
    <w:bookmarkEnd w:id="21"/>
    <w:bookmarkStart w:id="22" w:name="research-questions"/>
    <w:p>
      <w:pPr>
        <w:pStyle w:val="Heading2"/>
      </w:pPr>
      <w:r>
        <w:t xml:space="preserve">Research Questions</w:t>
      </w:r>
    </w:p>
    <w:p>
      <w:pPr>
        <w:numPr>
          <w:ilvl w:val="0"/>
          <w:numId w:val="1001"/>
        </w:numPr>
        <w:pStyle w:val="Compact"/>
      </w:pPr>
      <w:r>
        <w:t xml:space="preserve">How do judicial appointments and training protocols in Kuwait City impact the independence, expertise, and ethical decision-making of Judges?</w:t>
      </w:r>
    </w:p>
    <w:p>
      <w:pPr>
        <w:numPr>
          <w:ilvl w:val="0"/>
          <w:numId w:val="1001"/>
        </w:numPr>
        <w:pStyle w:val="Compact"/>
      </w:pPr>
      <w:r>
        <w:t xml:space="preserve">What are the primary systemic challenges (e.g., case backlog, resource constraints) and sociocultural pressures (e.g., tribal influence, gender dynamics) faced by Judges operating within Kuwait City's courts?</w:t>
      </w:r>
    </w:p>
    <w:p>
      <w:pPr>
        <w:numPr>
          <w:ilvl w:val="0"/>
          <w:numId w:val="1001"/>
        </w:numPr>
        <w:pStyle w:val="Compact"/>
      </w:pPr>
      <w:r>
        <w:t xml:space="preserve">How do Judges in Kuwait City navigate the tension between traditional Islamic legal interpretations and modern commercial law requirements in high-stakes cases?</w:t>
      </w:r>
    </w:p>
    <w:bookmarkEnd w:id="22"/>
    <w:bookmarkStart w:id="23" w:name="research-objectives"/>
    <w:p>
      <w:pPr>
        <w:pStyle w:val="Heading2"/>
      </w:pPr>
      <w:r>
        <w:t xml:space="preserve">Research Objectives</w:t>
      </w:r>
    </w:p>
    <w:p>
      <w:pPr>
        <w:pStyle w:val="FirstParagraph"/>
      </w:pPr>
      <w:r>
        <w:t xml:space="preserve">This study aims to achieve three primary objectives:</w:t>
      </w:r>
    </w:p>
    <w:p>
      <w:pPr>
        <w:numPr>
          <w:ilvl w:val="0"/>
          <w:numId w:val="1002"/>
        </w:numPr>
        <w:pStyle w:val="Compact"/>
      </w:pPr>
      <w:r>
        <w:rPr>
          <w:bCs/>
          <w:b/>
        </w:rPr>
        <w:t xml:space="preserve">Document the Judicial Experience</w:t>
      </w:r>
      <w:r>
        <w:t xml:space="preserve">: To systematically map the professional journey, training, and daily challenges of Judges serving in Kuwait City's courts through qualitative interviews.</w:t>
      </w:r>
    </w:p>
    <w:p>
      <w:pPr>
        <w:numPr>
          <w:ilvl w:val="0"/>
          <w:numId w:val="1002"/>
        </w:numPr>
        <w:pStyle w:val="Compact"/>
      </w:pPr>
      <w:r>
        <w:rPr>
          <w:bCs/>
          <w:b/>
        </w:rPr>
        <w:t xml:space="preserve">Identify Institutional Barriers</w:t>
      </w:r>
      <w:r>
        <w:t xml:space="preserve">: To analyze how procedural inefficiencies (e.g., case management systems), resource allocation gaps, and societal expectations hinder judicial effectiveness within Kuwait City's legal institutions.</w:t>
      </w:r>
    </w:p>
    <w:p>
      <w:pPr>
        <w:numPr>
          <w:ilvl w:val="0"/>
          <w:numId w:val="1002"/>
        </w:numPr>
        <w:pStyle w:val="Compact"/>
      </w:pPr>
      <w:r>
        <w:rPr>
          <w:bCs/>
          <w:b/>
        </w:rPr>
        <w:t xml:space="preserve">Promote Evidence-Based Reform</w:t>
      </w:r>
      <w:r>
        <w:t xml:space="preserve">: To develop actionable policy recommendations for enhancing judicial independence, capacity-building programs, and public trust in the judiciary of Kuwait City based on empirical findings.</w:t>
      </w:r>
    </w:p>
    <w:bookmarkEnd w:id="23"/>
    <w:bookmarkStart w:id="24" w:name="methodology"/>
    <w:p>
      <w:pPr>
        <w:pStyle w:val="Heading2"/>
      </w:pPr>
      <w:r>
        <w:t xml:space="preserve">Methodology</w:t>
      </w:r>
    </w:p>
    <w:p>
      <w:pPr>
        <w:pStyle w:val="FirstParagraph"/>
      </w:pPr>
      <w:r>
        <w:t xml:space="preserve">The research employs a mixed-methods approach designed for contextual depth:</w:t>
      </w:r>
    </w:p>
    <w:p>
      <w:pPr>
        <w:numPr>
          <w:ilvl w:val="0"/>
          <w:numId w:val="1003"/>
        </w:numPr>
        <w:pStyle w:val="Compact"/>
      </w:pPr>
      <w:r>
        <w:rPr>
          <w:bCs/>
          <w:b/>
        </w:rPr>
        <w:t xml:space="preserve">Qualitative Interviews</w:t>
      </w:r>
      <w:r>
        <w:t xml:space="preserve">: In-depth, semi-structured interviews with 30+ sitting Judges across different courts in Kuwait City (including civil, criminal, and commercial divisions). Participants will be selected to represent diverse experience levels (5–25 years), gender, and court specializations.</w:t>
      </w:r>
    </w:p>
    <w:p>
      <w:pPr>
        <w:numPr>
          <w:ilvl w:val="0"/>
          <w:numId w:val="1003"/>
        </w:numPr>
        <w:pStyle w:val="Compact"/>
      </w:pPr>
      <w:r>
        <w:rPr>
          <w:bCs/>
          <w:b/>
        </w:rPr>
        <w:t xml:space="preserve">Document Analysis</w:t>
      </w:r>
      <w:r>
        <w:t xml:space="preserve">: Review of judicial directives issued by the Ministry of Justice, case law databases from the Court of Cassation in Kuwait City, and internal reports on court efficiency metrics.</w:t>
      </w:r>
    </w:p>
    <w:p>
      <w:pPr>
        <w:numPr>
          <w:ilvl w:val="0"/>
          <w:numId w:val="1003"/>
        </w:numPr>
        <w:pStyle w:val="Compact"/>
      </w:pPr>
      <w:r>
        <w:rPr>
          <w:bCs/>
          <w:b/>
        </w:rPr>
        <w:t xml:space="preserve">Focus Group Discussions</w:t>
      </w:r>
      <w:r>
        <w:t xml:space="preserve">: Two focus groups with legal scholars and practicing attorneys in Kuwait City to triangulate findings on judicial challenges.</w:t>
      </w:r>
    </w:p>
    <w:p>
      <w:pPr>
        <w:numPr>
          <w:ilvl w:val="0"/>
          <w:numId w:val="1003"/>
        </w:numPr>
        <w:pStyle w:val="Compact"/>
      </w:pPr>
      <w:r>
        <w:rPr>
          <w:bCs/>
          <w:b/>
        </w:rPr>
        <w:t xml:space="preserve">Comparative Framework</w:t>
      </w:r>
      <w:r>
        <w:t xml:space="preserve">: Benchmarked against judicial systems in Qatar and the UAE (both neighboring Gulf states with similar cultural contexts but distinct legal structures) to highlight Kuwait-specific nuances.</w:t>
      </w:r>
    </w:p>
    <w:p>
      <w:pPr>
        <w:pStyle w:val="FirstParagraph"/>
      </w:pPr>
      <w:r>
        <w:t xml:space="preserve">All data collection will adhere strictly to Kuwaiti ethical guidelines, with full participant confidentiality guaranteed. The research team will obtain formal approvals from the Ministry of Justice and the University of Kuwait's Institutional Review Board.</w:t>
      </w:r>
    </w:p>
    <w:bookmarkEnd w:id="24"/>
    <w:bookmarkStart w:id="25" w:name="expected-significance"/>
    <w:p>
      <w:pPr>
        <w:pStyle w:val="Heading2"/>
      </w:pPr>
      <w:r>
        <w:t xml:space="preserve">Expected Significance</w:t>
      </w:r>
    </w:p>
    <w:p>
      <w:pPr>
        <w:pStyle w:val="FirstParagraph"/>
      </w:pPr>
      <w:r>
        <w:t xml:space="preserve">This</w:t>
      </w:r>
      <w:r>
        <w:t xml:space="preserve"> </w:t>
      </w:r>
      <w:r>
        <w:rPr>
          <w:bCs/>
          <w:b/>
        </w:rPr>
        <w:t xml:space="preserve">Thesis Proposal</w:t>
      </w:r>
      <w:r>
        <w:t xml:space="preserve"> </w:t>
      </w:r>
      <w:r>
        <w:t xml:space="preserve">holds substantial significance for multiple stakeholders:</w:t>
      </w:r>
    </w:p>
    <w:p>
      <w:pPr>
        <w:numPr>
          <w:ilvl w:val="0"/>
          <w:numId w:val="1004"/>
        </w:numPr>
        <w:pStyle w:val="Compact"/>
      </w:pPr>
      <w:r>
        <w:rPr>
          <w:bCs/>
          <w:b/>
        </w:rPr>
        <w:t xml:space="preserve">National Level</w:t>
      </w:r>
      <w:r>
        <w:t xml:space="preserve">: Findings will directly inform the Ministry of Justice’s ongoing judicial reforms (e.g., the 2019 Judicial Reform Initiative), providing concrete evidence to address systemic pain points affecting Judges in Kuwait City. Enhanced judicial efficiency is critical for Kuwait’s Vision 2035 goals of economic diversification and attracting foreign investment.</w:t>
      </w:r>
    </w:p>
    <w:p>
      <w:pPr>
        <w:numPr>
          <w:ilvl w:val="0"/>
          <w:numId w:val="1004"/>
        </w:numPr>
        <w:pStyle w:val="Compact"/>
      </w:pPr>
      <w:r>
        <w:rPr>
          <w:bCs/>
          <w:b/>
        </w:rPr>
        <w:t xml:space="preserve">Academic Level</w:t>
      </w:r>
      <w:r>
        <w:t xml:space="preserve">: It will contribute a new body of scholarship on Arab judicial systems, challenging monolithic narratives by centering the Judge's perspective in a rapidly modernizing Gulf context. This fills a critical gap in Middle Eastern legal studies.</w:t>
      </w:r>
    </w:p>
    <w:p>
      <w:pPr>
        <w:numPr>
          <w:ilvl w:val="0"/>
          <w:numId w:val="1004"/>
        </w:numPr>
        <w:pStyle w:val="Compact"/>
      </w:pPr>
      <w:r>
        <w:rPr>
          <w:bCs/>
          <w:b/>
        </w:rPr>
        <w:t xml:space="preserve">Societal Impact</w:t>
      </w:r>
      <w:r>
        <w:t xml:space="preserve">: By amplifying the challenges faced by Judges within Kuwait City—such as balancing religious fidelity with commercial pragmatism—the study will foster greater public understanding of judicial independence, ultimately strengthening societal trust in the rule of law across all segments of Kuwaiti society.</w:t>
      </w:r>
    </w:p>
    <w:bookmarkEnd w:id="25"/>
    <w:bookmarkStart w:id="26" w:name="timeline-and-feasibility"/>
    <w:p>
      <w:pPr>
        <w:pStyle w:val="Heading2"/>
      </w:pPr>
      <w:r>
        <w:t xml:space="preserve">Timeline and Feasibility</w:t>
      </w:r>
    </w:p>
    <w:p>
      <w:pPr>
        <w:pStyle w:val="FirstParagraph"/>
      </w:pPr>
      <w:r>
        <w:t xml:space="preserve">The project is structured over 18 months:</w:t>
      </w:r>
    </w:p>
    <w:p>
      <w:pPr>
        <w:numPr>
          <w:ilvl w:val="0"/>
          <w:numId w:val="1005"/>
        </w:numPr>
        <w:pStyle w:val="Compact"/>
      </w:pPr>
      <w:r>
        <w:rPr>
          <w:bCs/>
          <w:b/>
        </w:rPr>
        <w:t xml:space="preserve">Months 1–3</w:t>
      </w:r>
      <w:r>
        <w:t xml:space="preserve">: Literature review, ethics approvals, and interview protocol finalization.</w:t>
      </w:r>
    </w:p>
    <w:p>
      <w:pPr>
        <w:numPr>
          <w:ilvl w:val="0"/>
          <w:numId w:val="1005"/>
        </w:numPr>
        <w:pStyle w:val="Compact"/>
      </w:pPr>
      <w:r>
        <w:rPr>
          <w:bCs/>
          <w:b/>
        </w:rPr>
        <w:t xml:space="preserve">Months 4–9</w:t>
      </w:r>
      <w:r>
        <w:t xml:space="preserve">: Primary data collection (interviews and focus groups) across Kuwait City courts.</w:t>
      </w:r>
    </w:p>
    <w:p>
      <w:pPr>
        <w:numPr>
          <w:ilvl w:val="0"/>
          <w:numId w:val="1005"/>
        </w:numPr>
        <w:pStyle w:val="Compact"/>
      </w:pPr>
      <w:r>
        <w:rPr>
          <w:bCs/>
          <w:b/>
        </w:rPr>
        <w:t xml:space="preserve">Months 10–14</w:t>
      </w:r>
      <w:r>
        <w:t xml:space="preserve">: Data analysis using thematic coding software (NVivo) and comparative assessment.</w:t>
      </w:r>
    </w:p>
    <w:p>
      <w:pPr>
        <w:numPr>
          <w:ilvl w:val="0"/>
          <w:numId w:val="1005"/>
        </w:numPr>
        <w:pStyle w:val="Compact"/>
      </w:pPr>
      <w:r>
        <w:rPr>
          <w:bCs/>
          <w:b/>
        </w:rPr>
        <w:t xml:space="preserve">Months 15–18</w:t>
      </w:r>
      <w:r>
        <w:t xml:space="preserve">: Drafting final thesis, policy brief for Ministry of Justice, and academic publication planning.</w:t>
      </w:r>
    </w:p>
    <w:p>
      <w:pPr>
        <w:pStyle w:val="FirstParagraph"/>
      </w:pPr>
      <w:r>
        <w:t xml:space="preserve">Feasibility is ensured through established partnerships with Kuwaiti judicial institutions, prior research access granted by the University of Kuwait Law School, and a project team including two Kuwaiti legal scholars familiar with local court protocols. Data collection will utilize Arabic-language instruments to ensure cultural resonance and accuracy.</w:t>
      </w:r>
    </w:p>
    <w:bookmarkEnd w:id="26"/>
    <w:bookmarkStart w:id="27" w:name="conclusion"/>
    <w:p>
      <w:pPr>
        <w:pStyle w:val="Heading2"/>
      </w:pPr>
      <w:r>
        <w:t xml:space="preserve">Conclusion</w:t>
      </w:r>
    </w:p>
    <w:p>
      <w:pPr>
        <w:pStyle w:val="FirstParagraph"/>
      </w:pPr>
      <w:r>
        <w:t xml:space="preserve">The institution of justice in Kuwait City hinges on the integrity, competence, and resilience of its</w:t>
      </w:r>
      <w:r>
        <w:t xml:space="preserve"> </w:t>
      </w:r>
      <w:r>
        <w:rPr>
          <w:bCs/>
          <w:b/>
        </w:rPr>
        <w:t xml:space="preserve">Judge</w:t>
      </w:r>
      <w:r>
        <w:t xml:space="preserve">. This</w:t>
      </w:r>
      <w:r>
        <w:t xml:space="preserve"> </w:t>
      </w:r>
      <w:r>
        <w:rPr>
          <w:iCs/>
          <w:i/>
        </w:rPr>
        <w:t xml:space="preserve">Thesis Proposal</w:t>
      </w:r>
      <w:r>
        <w:t xml:space="preserve"> </w:t>
      </w:r>
      <w:r>
        <w:t xml:space="preserve">moves beyond abstract legal theory to examine how Judges navigate the complex realities of administering justice in one of the Middle East’s most dynamic urban legal environments. By centering the experiences of these professionals—those who interpret laws daily for citizens across Kuwait City—the research promises not only academic rigor but also tangible pathways toward a more robust, transparent, and respected judiciary. In an era where public trust in institutions is paramount, understanding the</w:t>
      </w:r>
      <w:r>
        <w:t xml:space="preserve"> </w:t>
      </w:r>
      <w:r>
        <w:rPr>
          <w:iCs/>
          <w:i/>
        </w:rPr>
        <w:t xml:space="preserve">Judge</w:t>
      </w:r>
      <w:r>
        <w:t xml:space="preserve">’s role within</w:t>
      </w:r>
      <w:r>
        <w:t xml:space="preserve"> </w:t>
      </w:r>
      <w:r>
        <w:rPr>
          <w:bCs/>
          <w:b/>
        </w:rPr>
        <w:t xml:space="preserve">Kuwait Kuwait City</w:t>
      </w:r>
      <w:r>
        <w:t xml:space="preserve"> </w:t>
      </w:r>
      <w:r>
        <w:t xml:space="preserve">is not merely scholarly; it is foundational to Kuwait’s future as a progressive and just society. This study represents a necessary step toward ensuring that justice in Kuwait City remains both impartial and accessible for all citizens, reflecting the nation's commitment to its constitutional promise of equality before the law.</w:t>
      </w:r>
    </w:p>
    <w:bookmarkEnd w:id="27"/>
    <w:bookmarkStart w:id="28" w:name="word-count-845"/>
    <w:p>
      <w:pPr>
        <w:pStyle w:val="Heading2"/>
      </w:pPr>
      <w:r>
        <w:t xml:space="preserve">Word Count: 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Kuwait City's Judicial System</dc:title>
  <dc:creator/>
  <dc:language>en</dc:language>
  <cp:keywords/>
  <dcterms:created xsi:type="dcterms:W3CDTF">2026-09-26T17:49:20Z</dcterms:created>
  <dcterms:modified xsi:type="dcterms:W3CDTF">2026-09-26T17:49:20Z</dcterms:modified>
</cp:coreProperties>
</file>

<file path=docProps/custom.xml><?xml version="1.0" encoding="utf-8"?>
<Properties xmlns="http://schemas.openxmlformats.org/officeDocument/2006/custom-properties" xmlns:vt="http://schemas.openxmlformats.org/officeDocument/2006/docPropsVTypes"/>
</file>