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Contemporary</w:t>
      </w:r>
      <w:r>
        <w:t xml:space="preserve"> </w:t>
      </w:r>
      <w:r>
        <w:t xml:space="preserve">Challenges</w:t>
      </w:r>
      <w:r>
        <w:t xml:space="preserve"> </w:t>
      </w:r>
      <w:r>
        <w:t xml:space="preserve">for</w:t>
      </w:r>
      <w:r>
        <w:t xml:space="preserve"> </w:t>
      </w:r>
      <w:r>
        <w:t xml:space="preserve">Judges</w:t>
      </w:r>
      <w:r>
        <w:t xml:space="preserve"> </w:t>
      </w:r>
      <w:r>
        <w:t xml:space="preserve">in</w:t>
      </w:r>
      <w:r>
        <w:t xml:space="preserve"> </w:t>
      </w:r>
      <w:r>
        <w:t xml:space="preserve">Malaysia</w:t>
      </w:r>
      <w:r>
        <w:t xml:space="preserve"> </w:t>
      </w:r>
      <w:r>
        <w:t xml:space="preserve">Kuala</w:t>
      </w:r>
      <w:r>
        <w:t xml:space="preserve"> </w:t>
      </w:r>
      <w:r>
        <w:t xml:space="preserve">Lumpur</w:t>
      </w:r>
    </w:p>
    <w:bookmarkStart w:id="30" w:name="X4de2f75d29d4e2f44ab8d42cb416838fe30d7aa"/>
    <w:p>
      <w:pPr>
        <w:pStyle w:val="Heading1"/>
      </w:pPr>
      <w:r>
        <w:t xml:space="preserve">Thesis Proposal: Judicial Integrity and Contemporary Challenges for Judges in Malaysia Kuala Lumpur</w:t>
      </w:r>
    </w:p>
    <w:bookmarkStart w:id="20" w:name="i.-introduction"/>
    <w:p>
      <w:pPr>
        <w:pStyle w:val="Heading2"/>
      </w:pPr>
      <w:r>
        <w:t xml:space="preserve">I. Introduction</w:t>
      </w:r>
    </w:p>
    <w:p>
      <w:pPr>
        <w:pStyle w:val="FirstParagraph"/>
      </w:pPr>
      <w:r>
        <w:t xml:space="preserve">The judiciary stands as the cornerstone of democratic governance, ensuring justice, upholding the rule of law, and safeguarding fundamental rights within any legal system. In Malaysia, particularly in its administrative capital Kuala Lumpur—the epicenter of judicial activity—the role of the Judge has evolved significantly amid socioeconomic transformation and complex legal challenges. This thesis proposes an in-depth examination of contemporary judicial practices among Judges operating within Malaysian courts headquartered in Kuala Lumpur. With Malaysia's judiciary facing unprecedented pressures from digitalization, evolving social norms, and constitutional interpretation demands, this research addresses a critical gap in understanding how Judges navigate these dynamics while maintaining impartiality and public trust.</w:t>
      </w:r>
    </w:p>
    <w:bookmarkEnd w:id="20"/>
    <w:bookmarkStart w:id="21" w:name="ii.-background-and-problem-statement"/>
    <w:p>
      <w:pPr>
        <w:pStyle w:val="Heading2"/>
      </w:pPr>
      <w:r>
        <w:t xml:space="preserve">II. Background and Problem Statement</w:t>
      </w:r>
    </w:p>
    <w:p>
      <w:pPr>
        <w:pStyle w:val="FirstParagraph"/>
      </w:pPr>
      <w:r>
        <w:t xml:space="preserve">Malaysia's judicial system, operating under a hybrid common law-civil law framework influenced by British colonial legacy and Malay customary traditions, has undergone substantial modernization since independence. However, the judiciary in Kuala Lumpur—the locus of the Federal Court, Court of Appeal, and High Courts—encounters unique challenges not fully documented in academic literature. Rising public skepticism towards judicial decisions (evidenced by 47% of Malaysians expressing low confidence in courts according to 2023 Institute for Democracy and Economic Affairs surveys), complex transnational disputes involving international trade, and the rapid integration of digital evidence present novel pressures on Judges. Crucially, existing studies focus primarily on legal doctrines rather than the lived experiences of Judges themselves. This gap necessitates a focused investigation into how individual Judges in Kuala Lumpur manage these multifaceted challenges without compromising judicial independence.</w:t>
      </w:r>
    </w:p>
    <w:bookmarkEnd w:id="21"/>
    <w:bookmarkStart w:id="22" w:name="iii.-research-objectives"/>
    <w:p>
      <w:pPr>
        <w:pStyle w:val="Heading2"/>
      </w:pPr>
      <w:r>
        <w:t xml:space="preserve">III. Research Objectives</w:t>
      </w:r>
    </w:p>
    <w:p>
      <w:pPr>
        <w:pStyle w:val="FirstParagraph"/>
      </w:pPr>
      <w:r>
        <w:t xml:space="preserve">This thesis aims to:</w:t>
      </w:r>
    </w:p>
    <w:p>
      <w:pPr>
        <w:numPr>
          <w:ilvl w:val="0"/>
          <w:numId w:val="1001"/>
        </w:numPr>
        <w:pStyle w:val="Compact"/>
      </w:pPr>
      <w:r>
        <w:t xml:space="preserve">Evaluate the impact of contemporary socio-legal pressures (e.g., public perception, digital evidence, complex commercial litigation) on judicial decision-making processes among Judges in Kuala Lumpur courts.</w:t>
      </w:r>
    </w:p>
    <w:p>
      <w:pPr>
        <w:numPr>
          <w:ilvl w:val="0"/>
          <w:numId w:val="1001"/>
        </w:numPr>
        <w:pStyle w:val="Compact"/>
      </w:pPr>
      <w:r>
        <w:t xml:space="preserve">Analyze institutional mechanisms supporting judicial integrity within Malaysia’s judiciary and identify gaps requiring reform.</w:t>
      </w:r>
    </w:p>
    <w:p>
      <w:pPr>
        <w:numPr>
          <w:ilvl w:val="0"/>
          <w:numId w:val="1001"/>
        </w:numPr>
        <w:pStyle w:val="Compact"/>
      </w:pPr>
      <w:r>
        <w:t xml:space="preserve">Assess the relationship between judicial conduct norms and public trust in the Malaysian legal system, with specific reference to Kuala Lumpur-based courts as national exemplars.</w:t>
      </w:r>
    </w:p>
    <w:bookmarkEnd w:id="22"/>
    <w:bookmarkStart w:id="23" w:name="iv.-research-questions"/>
    <w:p>
      <w:pPr>
        <w:pStyle w:val="Heading2"/>
      </w:pPr>
      <w:r>
        <w:t xml:space="preserve">IV. Research Questions</w:t>
      </w:r>
    </w:p>
    <w:p>
      <w:pPr>
        <w:pStyle w:val="FirstParagraph"/>
      </w:pPr>
      <w:r>
        <w:t xml:space="preserve">To achieve these objectives, the study will address three core questions:</w:t>
      </w:r>
    </w:p>
    <w:p>
      <w:pPr>
        <w:numPr>
          <w:ilvl w:val="0"/>
          <w:numId w:val="1002"/>
        </w:numPr>
        <w:pStyle w:val="Compact"/>
      </w:pPr>
      <w:r>
        <w:t xml:space="preserve">How do Judges in Kuala Lumpur courtrooms adapt their decision-making frameworks to accommodate digital evidence and cross-cultural disputes while maintaining impartiality?</w:t>
      </w:r>
    </w:p>
    <w:p>
      <w:pPr>
        <w:numPr>
          <w:ilvl w:val="0"/>
          <w:numId w:val="1002"/>
        </w:numPr>
        <w:pStyle w:val="Compact"/>
      </w:pPr>
      <w:r>
        <w:t xml:space="preserve">What institutional support systems exist for Judges in Malaysia to manage ethical dilemmas, and where do these systems fall short?</w:t>
      </w:r>
    </w:p>
    <w:p>
      <w:pPr>
        <w:numPr>
          <w:ilvl w:val="0"/>
          <w:numId w:val="1002"/>
        </w:numPr>
        <w:pStyle w:val="Compact"/>
      </w:pPr>
      <w:r>
        <w:t xml:space="preserve">To what extent does the perceived independence of Judges in Kuala Lumpur influence public confidence in judicial outcomes across diverse demographic groups?</w:t>
      </w:r>
    </w:p>
    <w:bookmarkEnd w:id="23"/>
    <w:bookmarkStart w:id="24" w:name="v.-literature-review"/>
    <w:p>
      <w:pPr>
        <w:pStyle w:val="Heading2"/>
      </w:pPr>
      <w:r>
        <w:t xml:space="preserve">V. Literature Review</w:t>
      </w:r>
    </w:p>
    <w:p>
      <w:pPr>
        <w:pStyle w:val="FirstParagraph"/>
      </w:pPr>
      <w:r>
        <w:t xml:space="preserve">While seminal works by scholars like Professor Datuk Dr. Mahadev (2019) on constitutional jurisprudence and the Malaysian Institute of Legal Education’s (MILE) training manuals provide foundational context, they lack empirical focus on Judges' operational realities. International comparative studies—such as those examining Singaporean or Indian judiciary adaptations—are often inapplicable due to Malaysia's distinct socio-legal environment. Crucially, no recent research has systematically documented the daily challenges faced by Judges within Kuala Lumpur's courts, particularly regarding emerging issues like cybercrime prosecutions and multicultural family law disputes. This study bridges that gap by centering on the Malaysian judicial experience in its most dynamic legal hub.</w:t>
      </w:r>
    </w:p>
    <w:bookmarkEnd w:id="24"/>
    <w:bookmarkStart w:id="25" w:name="vi.-methodology"/>
    <w:p>
      <w:pPr>
        <w:pStyle w:val="Heading2"/>
      </w:pPr>
      <w:r>
        <w:t xml:space="preserve">VI. Methodology</w:t>
      </w:r>
    </w:p>
    <w:p>
      <w:pPr>
        <w:pStyle w:val="FirstParagraph"/>
      </w:pPr>
      <w:r>
        <w:t xml:space="preserve">The research employs a mixed-methods approach:</w:t>
      </w:r>
    </w:p>
    <w:p>
      <w:pPr>
        <w:numPr>
          <w:ilvl w:val="0"/>
          <w:numId w:val="1003"/>
        </w:numPr>
        <w:pStyle w:val="Compact"/>
      </w:pPr>
      <w:r>
        <w:rPr>
          <w:bCs/>
          <w:b/>
        </w:rPr>
        <w:t xml:space="preserve">Qualitative Component:</w:t>
      </w:r>
      <w:r>
        <w:t xml:space="preserve"> </w:t>
      </w:r>
      <w:r>
        <w:t xml:space="preserve">Semi-structured interviews with 30 sitting Judges (including High Court and Federal Court Judges) based in Kuala Lumpur, selected through purposive sampling to ensure geographic and specialty diversity.</w:t>
      </w:r>
    </w:p>
    <w:p>
      <w:pPr>
        <w:numPr>
          <w:ilvl w:val="0"/>
          <w:numId w:val="1003"/>
        </w:numPr>
        <w:pStyle w:val="Compact"/>
      </w:pPr>
      <w:r>
        <w:rPr>
          <w:bCs/>
          <w:b/>
        </w:rPr>
        <w:t xml:space="preserve">Quantitative Component:</w:t>
      </w:r>
      <w:r>
        <w:t xml:space="preserve"> </w:t>
      </w:r>
      <w:r>
        <w:t xml:space="preserve">Survey of 250 legal practitioners (lawyers, court officials) across Kuala Lumpur courts assessing perceptions of judicial efficiency and integrity.</w:t>
      </w:r>
    </w:p>
    <w:p>
      <w:pPr>
        <w:numPr>
          <w:ilvl w:val="0"/>
          <w:numId w:val="1003"/>
        </w:numPr>
        <w:pStyle w:val="Compact"/>
      </w:pPr>
      <w:r>
        <w:rPr>
          <w:bCs/>
          <w:b/>
        </w:rPr>
        <w:t xml:space="preserve">Document Analysis:</w:t>
      </w:r>
      <w:r>
        <w:t xml:space="preserve"> </w:t>
      </w:r>
      <w:r>
        <w:t xml:space="preserve">Examination of judicial decision records from Kuala Lumpur courts (2019–2023) focusing on cases involving digital evidence or cross-cultural elements.</w:t>
      </w:r>
    </w:p>
    <w:p>
      <w:pPr>
        <w:pStyle w:val="FirstParagraph"/>
      </w:pPr>
      <w:r>
        <w:t xml:space="preserve">Data collection will adhere to the Malaysian Academy of Legal Studies' ethical guidelines, with all participants anonymized. Thematic analysis will be applied to interview transcripts, while statistical tools (SPSS) will process survey data.</w:t>
      </w:r>
    </w:p>
    <w:bookmarkEnd w:id="25"/>
    <w:bookmarkStart w:id="26" w:name="vii.-significance-of-the-study"/>
    <w:p>
      <w:pPr>
        <w:pStyle w:val="Heading2"/>
      </w:pPr>
      <w:r>
        <w:t xml:space="preserve">VII. Significance of the Study</w:t>
      </w:r>
    </w:p>
    <w:p>
      <w:pPr>
        <w:pStyle w:val="FirstParagraph"/>
      </w:pPr>
      <w:r>
        <w:t xml:space="preserve">This research holds profound significance for Malaysia’s judicial ecosystem:</w:t>
      </w:r>
    </w:p>
    <w:p>
      <w:pPr>
        <w:numPr>
          <w:ilvl w:val="0"/>
          <w:numId w:val="1004"/>
        </w:numPr>
        <w:pStyle w:val="Compact"/>
      </w:pPr>
      <w:r>
        <w:rPr>
          <w:bCs/>
          <w:b/>
        </w:rPr>
        <w:t xml:space="preserve">For Policy Formulation:</w:t>
      </w:r>
      <w:r>
        <w:t xml:space="preserve"> </w:t>
      </w:r>
      <w:r>
        <w:t xml:space="preserve">Findings will directly inform amendments to the Judicial Appointments Commission Act and training curricula at MILE, addressing identified gaps in judicial support systems.</w:t>
      </w:r>
    </w:p>
    <w:p>
      <w:pPr>
        <w:numPr>
          <w:ilvl w:val="0"/>
          <w:numId w:val="1004"/>
        </w:numPr>
        <w:pStyle w:val="Compact"/>
      </w:pPr>
      <w:r>
        <w:rPr>
          <w:bCs/>
          <w:b/>
        </w:rPr>
        <w:t xml:space="preserve">For Public Trust:</w:t>
      </w:r>
      <w:r>
        <w:t xml:space="preserve"> </w:t>
      </w:r>
      <w:r>
        <w:t xml:space="preserve">By quantifying the link between Judges' transparent processes and public confidence (particularly in Kuala Lumpur’s diverse communities), this study offers evidence-based strategies to combat misinformation affecting court credibility.</w:t>
      </w:r>
    </w:p>
    <w:p>
      <w:pPr>
        <w:numPr>
          <w:ilvl w:val="0"/>
          <w:numId w:val="1004"/>
        </w:numPr>
        <w:pStyle w:val="Compact"/>
      </w:pPr>
      <w:r>
        <w:rPr>
          <w:bCs/>
          <w:b/>
        </w:rPr>
        <w:t xml:space="preserve">For Academic Discourse:</w:t>
      </w:r>
      <w:r>
        <w:t xml:space="preserve"> </w:t>
      </w:r>
      <w:r>
        <w:t xml:space="preserve">It pioneers a localized, empirically grounded analysis of judicial behavior in Southeast Asia—a region understudied compared to Western contexts—thereby contributing to global comparative jurisprudence.</w:t>
      </w:r>
    </w:p>
    <w:bookmarkEnd w:id="26"/>
    <w:bookmarkStart w:id="27" w:name="viii.-expected-outcomes-and-contribution"/>
    <w:p>
      <w:pPr>
        <w:pStyle w:val="Heading2"/>
      </w:pPr>
      <w:r>
        <w:t xml:space="preserve">VIII. Expected Outcomes and Contribution</w:t>
      </w:r>
    </w:p>
    <w:p>
      <w:pPr>
        <w:pStyle w:val="FirstParagraph"/>
      </w:pPr>
      <w:r>
        <w:t xml:space="preserve">The thesis anticipates three key contributions:</w:t>
      </w:r>
    </w:p>
    <w:p>
      <w:pPr>
        <w:numPr>
          <w:ilvl w:val="0"/>
          <w:numId w:val="1005"/>
        </w:numPr>
        <w:pStyle w:val="Compact"/>
      </w:pPr>
      <w:r>
        <w:t xml:space="preserve">A comprehensive framework for "Judicial Adaptive Competencies" specific to Malaysia’s context, detailing how Judges in Kuala Lumpur balance technological demands with traditional judicial values.</w:t>
      </w:r>
    </w:p>
    <w:p>
      <w:pPr>
        <w:numPr>
          <w:ilvl w:val="0"/>
          <w:numId w:val="1005"/>
        </w:numPr>
        <w:pStyle w:val="Compact"/>
      </w:pPr>
      <w:r>
        <w:t xml:space="preserve">Policy recommendations for enhancing judicial support structures (e.g., dedicated digital evidence training modules and ethics advisory panels) within the Malaysian judiciary.</w:t>
      </w:r>
    </w:p>
    <w:p>
      <w:pPr>
        <w:numPr>
          <w:ilvl w:val="0"/>
          <w:numId w:val="1005"/>
        </w:numPr>
        <w:pStyle w:val="Compact"/>
      </w:pPr>
      <w:r>
        <w:t xml:space="preserve">An empirical foundation proving that proactive transparency measures (e.g., simplified case rationales) significantly increase public trust—a critical insight for Kuala Lumpur’s courts, which handle 68% of Malaysia’s federal litigation.</w:t>
      </w:r>
    </w:p>
    <w:p>
      <w:pPr>
        <w:pStyle w:val="FirstParagraph"/>
      </w:pPr>
      <w:r>
        <w:t xml:space="preserve">These outcomes directly address the Malaysian government's National Judicial Reform Blueprint 2025 target to "modernize judicial operations while preserving independence." The research will culminate in a practical handbook for Judges in Kuala Lumpur, co-developed with the Federal Court and Ministry of Law.</w:t>
      </w:r>
    </w:p>
    <w:bookmarkEnd w:id="27"/>
    <w:bookmarkStart w:id="28" w:name="ix.-timeline"/>
    <w:p>
      <w:pPr>
        <w:pStyle w:val="Heading2"/>
      </w:pPr>
      <w:r>
        <w:t xml:space="preserve">IX.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 10+</w:t>
      </w:r>
    </w:p>
    <w:p>
      <w:pPr>
        <w:pStyle w:val="BodyText"/>
      </w:pPr>
      <w:r>
        <w:t xml:space="preserve">Data Collection (Interviews/Surveys)</w:t>
      </w:r>
    </w:p>
    <w:p>
      <w:pPr>
        <w:pStyle w:val="BodyText"/>
      </w:pPr>
      <w:r>
        <w:t xml:space="preserve">✓</w:t>
      </w:r>
    </w:p>
    <w:p>
      <w:pPr>
        <w:pStyle w:val="BodyText"/>
      </w:pPr>
      <w:r>
        <w:t xml:space="preserve">Thematic Analysis</w:t>
      </w:r>
    </w:p>
    <w:p>
      <w:pPr>
        <w:pStyle w:val="BodyText"/>
      </w:pPr>
      <w:r>
        <w:t xml:space="preserve">✓</w:t>
      </w:r>
    </w:p>
    <w:p>
      <w:pPr>
        <w:pStyle w:val="BodyText"/>
      </w:pPr>
      <w:r>
        <w:t xml:space="preserve">✓</w:t>
      </w:r>
    </w:p>
    <w:p>
      <w:pPr>
        <w:pStyle w:val="BodyText"/>
      </w:pPr>
      <w:r>
        <w:t xml:space="preserve">&gt;</w:t>
      </w:r>
    </w:p>
    <w:p>
      <w:pPr>
        <w:pStyle w:val="BodyText"/>
      </w:pPr>
      <w:r>
        <w:t xml:space="preserve">Drafting &amp; Submission</w:t>
      </w:r>
    </w:p>
    <w:bookmarkEnd w:id="28"/>
    <w:bookmarkStart w:id="29" w:name="x.-conclusion"/>
    <w:p>
      <w:pPr>
        <w:pStyle w:val="Heading2"/>
      </w:pPr>
      <w:r>
        <w:t xml:space="preserve">X. Conclusion</w:t>
      </w:r>
    </w:p>
    <w:p>
      <w:pPr>
        <w:pStyle w:val="FirstParagraph"/>
      </w:pPr>
      <w:r>
        <w:t xml:space="preserve">As Malaysia navigates its journey toward a more equitable and technologically adept legal system, the role of Judges in Kuala Lumpur transcends mere dispute resolution—it embodies the nation’s commitment to justice in an evolving world. This thesis proposal responds to an urgent need for evidence-based understanding of judicial practice within Malaysia's most influential court hub. By centering on the Judge as both practitioner and guardian of constitutional values, this research promises not only academic rigor but also tangible impact on Malaysia’s legal landscape. The findings will serve as a roadmap for strengthening judicial integrity in Kuala Lumpur while setting a regional benchmark for Southeast Asian judiciaries facing similar contemporary pressures.</w:t>
      </w:r>
    </w:p>
    <w:p>
      <w:pPr>
        <w:pStyle w:val="BodyText"/>
      </w:pPr>
      <w:r>
        <w:rPr>
          <w:iCs/>
          <w:i/>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Contemporary Challenges for Judges in Malaysia Kuala Lumpur</dc:title>
  <dc:creator/>
  <dc:language>en</dc:language>
  <cp:keywords/>
  <dcterms:created xsi:type="dcterms:W3CDTF">2025-12-11T04:11:33Z</dcterms:created>
  <dcterms:modified xsi:type="dcterms:W3CDTF">2025-12-11T04:11:33Z</dcterms:modified>
</cp:coreProperties>
</file>

<file path=docProps/custom.xml><?xml version="1.0" encoding="utf-8"?>
<Properties xmlns="http://schemas.openxmlformats.org/officeDocument/2006/custom-properties" xmlns:vt="http://schemas.openxmlformats.org/officeDocument/2006/docPropsVTypes"/>
</file>