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New</w:t>
      </w:r>
      <w:r>
        <w:t xml:space="preserve"> </w:t>
      </w:r>
      <w:r>
        <w:t xml:space="preserve">Zealand's</w:t>
      </w:r>
      <w:r>
        <w:t xml:space="preserve"> </w:t>
      </w:r>
      <w:r>
        <w:t xml:space="preserve">Legal</w:t>
      </w:r>
      <w:r>
        <w:t xml:space="preserve"> </w:t>
      </w:r>
      <w:r>
        <w:t xml:space="preserve">Landscape</w:t>
      </w:r>
      <w:r>
        <w:t xml:space="preserve"> </w:t>
      </w:r>
      <w:r>
        <w:t xml:space="preserve">-</w:t>
      </w:r>
      <w:r>
        <w:t xml:space="preserve"> </w:t>
      </w:r>
      <w:r>
        <w:t xml:space="preserve">A</w:t>
      </w:r>
      <w:r>
        <w:t xml:space="preserve"> </w:t>
      </w:r>
      <w:r>
        <w:t xml:space="preserve">Wellington</w:t>
      </w:r>
      <w:r>
        <w:t xml:space="preserve"> </w:t>
      </w:r>
      <w:r>
        <w:t xml:space="preserve">Perspective</w:t>
      </w:r>
    </w:p>
    <w:bookmarkStart w:id="29" w:name="X8b4bd06e4975c84a9323fe0bfbd4dd76fe7b39e"/>
    <w:p>
      <w:pPr>
        <w:pStyle w:val="Heading1"/>
      </w:pPr>
      <w:r>
        <w:t xml:space="preserve">Thesis Proposal: The Role of Judges in New Zealand's Legal Landscape - A Wellington Perspective</w:t>
      </w:r>
    </w:p>
    <w:bookmarkStart w:id="20" w:name="introduction-and-research-context"/>
    <w:p>
      <w:pPr>
        <w:pStyle w:val="Heading2"/>
      </w:pPr>
      <w:r>
        <w:t xml:space="preserve">Introduction and Research Context</w:t>
      </w:r>
    </w:p>
    <w:p>
      <w:pPr>
        <w:pStyle w:val="FirstParagraph"/>
      </w:pPr>
      <w:r>
        <w:t xml:space="preserve">This Thesis Proposal examines the evolving role of the</w:t>
      </w:r>
      <w:r>
        <w:t xml:space="preserve"> </w:t>
      </w:r>
      <w:r>
        <w:rPr>
          <w:iCs/>
          <w:i/>
        </w:rPr>
        <w:t xml:space="preserve">Judge</w:t>
      </w:r>
      <w:r>
        <w:t xml:space="preserve"> </w:t>
      </w:r>
      <w:r>
        <w:t xml:space="preserve">within New Zealand's judicial system, with a specific focus on the critical jurisdictional hub of Wellington. As the political and legal capital of New Zealand, Wellington houses key institutions including the Supreme Court of New Zealand, High Court, and Court of Appeal – making it an indispensable site for understanding judicial function in Aotearoa. This research addresses a significant gap: while New Zealand's judiciary is renowned for its innovation in areas like Te Ture Whenua Māori Act implementation and restorative justice models, there has been insufficient empirical analysis of how</w:t>
      </w:r>
      <w:r>
        <w:t xml:space="preserve"> </w:t>
      </w:r>
      <w:r>
        <w:rPr>
          <w:iCs/>
          <w:i/>
        </w:rPr>
        <w:t xml:space="preserve">Judge</w:t>
      </w:r>
      <w:r>
        <w:t xml:space="preserve">s operate within Wellington's unique legal ecosystem. The proposal argues that the</w:t>
      </w:r>
      <w:r>
        <w:t xml:space="preserve"> </w:t>
      </w:r>
      <w:r>
        <w:rPr>
          <w:iCs/>
          <w:i/>
        </w:rPr>
        <w:t xml:space="preserve">Judge</w:t>
      </w:r>
      <w:r>
        <w:t xml:space="preserve">'s role transcends mere adjudication; it encompasses cultural responsiveness, institutional leadership, and societal trust-building in a rapidly diversifying nation.</w:t>
      </w:r>
    </w:p>
    <w:bookmarkEnd w:id="20"/>
    <w:bookmarkStart w:id="21" w:name="problem-statement"/>
    <w:p>
      <w:pPr>
        <w:pStyle w:val="Heading2"/>
      </w:pPr>
      <w:r>
        <w:t xml:space="preserve">Problem Statement</w:t>
      </w:r>
    </w:p>
    <w:p>
      <w:pPr>
        <w:pStyle w:val="FirstParagraph"/>
      </w:pPr>
      <w:r>
        <w:t xml:space="preserve">Current literature on New Zealand judiciary often focuses on constitutional frameworks or landmark cases without contextualizing the day-to-day realities faced by judges operating from Wellington. This disconnect obscures how local judicial practices shape national legal outcomes. For instance, the High Court in Wellington handles over 60% of all judicial review applications and significant Māori land disputes – yet no study has systematically analyzed how judges navigate these complex intersections of tikanga Māori, statutory interpretation, and public expectations within Wellington's institutional setting. The proposed research directly confronts this oversight by centering the</w:t>
      </w:r>
      <w:r>
        <w:t xml:space="preserve"> </w:t>
      </w:r>
      <w:r>
        <w:rPr>
          <w:iCs/>
          <w:i/>
        </w:rPr>
        <w:t xml:space="preserve">Judge</w:t>
      </w:r>
      <w:r>
        <w:t xml:space="preserve"> </w:t>
      </w:r>
      <w:r>
        <w:t xml:space="preserve">as both actor and subject within New Zealand's evolving legal culture.</w:t>
      </w:r>
    </w:p>
    <w:bookmarkEnd w:id="21"/>
    <w:bookmarkStart w:id="22" w:name="research-questions"/>
    <w:p>
      <w:pPr>
        <w:pStyle w:val="Heading2"/>
      </w:pPr>
      <w:r>
        <w:t xml:space="preserve">Research Questions</w:t>
      </w:r>
    </w:p>
    <w:p>
      <w:pPr>
        <w:numPr>
          <w:ilvl w:val="0"/>
          <w:numId w:val="1001"/>
        </w:numPr>
        <w:pStyle w:val="Compact"/>
      </w:pPr>
      <w:r>
        <w:t xml:space="preserve">How do judges in Wellington balance statutory obligations with cultural obligations under Te Tiriti o Waitangi?</w:t>
      </w:r>
    </w:p>
    <w:p>
      <w:pPr>
        <w:numPr>
          <w:ilvl w:val="0"/>
          <w:numId w:val="1001"/>
        </w:numPr>
        <w:pStyle w:val="Compact"/>
      </w:pPr>
      <w:r>
        <w:t xml:space="preserve">To what extent does the Wellington-based judicial environment influence judicial decision-making patterns compared to provincial courts?</w:t>
      </w:r>
    </w:p>
    <w:p>
      <w:pPr>
        <w:numPr>
          <w:ilvl w:val="0"/>
          <w:numId w:val="1001"/>
        </w:numPr>
        <w:pStyle w:val="Compact"/>
      </w:pPr>
      <w:r>
        <w:t xml:space="preserve">In what ways do judges in New Zealand's capital city serve as bridges between legal institutions and community expectations during high-profile cases?</w:t>
      </w:r>
    </w:p>
    <w:bookmarkEnd w:id="22"/>
    <w:bookmarkStart w:id="23" w:name="literature-review-gaps-and-foundations"/>
    <w:p>
      <w:pPr>
        <w:pStyle w:val="Heading2"/>
      </w:pPr>
      <w:r>
        <w:t xml:space="preserve">Literature Review: Gaps and Foundations</w:t>
      </w:r>
    </w:p>
    <w:p>
      <w:pPr>
        <w:pStyle w:val="FirstParagraph"/>
      </w:pPr>
      <w:r>
        <w:t xml:space="preserve">Existing scholarship on New Zealand judges (e.g., McHugh, 2018; Tuckey, 2015) emphasizes constitutional roles but lacks geographic specificity. Work by Mikaere (2017) on tikanga in courts provides theoretical grounding, yet overlooks Wellington's unique position as the "nerve center" of New Zealand law. Similarly, studies on judicial diversity (e.g., Gower &amp; Wilson, 2020) analyze national demographics without examining how Wellington-based judges engage with local Māori communities or urban socio-legal challenges. This proposal bridges these gaps by positioning Wellington not merely as a location but as an active participant in shaping judicial practice.</w:t>
      </w:r>
    </w:p>
    <w:bookmarkEnd w:id="23"/>
    <w:bookmarkStart w:id="24" w:name="methodology"/>
    <w:p>
      <w:pPr>
        <w:pStyle w:val="Heading2"/>
      </w:pPr>
      <w:r>
        <w:t xml:space="preserve">Methodology</w:t>
      </w:r>
    </w:p>
    <w:p>
      <w:pPr>
        <w:pStyle w:val="FirstParagraph"/>
      </w:pPr>
      <w:r>
        <w:t xml:space="preserve">This qualitative study employs a multi-phase approach designed for depth within the New Zealand context:</w:t>
      </w:r>
    </w:p>
    <w:p>
      <w:pPr>
        <w:numPr>
          <w:ilvl w:val="0"/>
          <w:numId w:val="1002"/>
        </w:numPr>
        <w:pStyle w:val="Compact"/>
      </w:pPr>
      <w:r>
        <w:rPr>
          <w:bCs/>
          <w:b/>
        </w:rPr>
        <w:t xml:space="preserve">Phase 1: Judicial Ethnography</w:t>
      </w:r>
      <w:r>
        <w:t xml:space="preserve"> </w:t>
      </w:r>
      <w:r>
        <w:t xml:space="preserve">– A 12-month period of participant observation at Wellington's High Court and Supreme Court, documenting case handling, judicial conferences, and court protocols. This will capture the lived experience of judges beyond written judgments.</w:t>
      </w:r>
    </w:p>
    <w:p>
      <w:pPr>
        <w:numPr>
          <w:ilvl w:val="0"/>
          <w:numId w:val="1002"/>
        </w:numPr>
        <w:pStyle w:val="Compact"/>
      </w:pPr>
      <w:r>
        <w:rPr>
          <w:bCs/>
          <w:b/>
        </w:rPr>
        <w:t xml:space="preserve">Phase 2: Expert Interviews</w:t>
      </w:r>
      <w:r>
        <w:t xml:space="preserve"> </w:t>
      </w:r>
      <w:r>
        <w:t xml:space="preserve">– Semi-structured interviews with 30 key stakeholders: sitting judges (including five from Wellington courts), Crown Law Office officials, Te Māngai Pāho representatives, and community legal advocates. Emphasis will be placed on Wellington-specific challenges.</w:t>
      </w:r>
    </w:p>
    <w:p>
      <w:pPr>
        <w:numPr>
          <w:ilvl w:val="0"/>
          <w:numId w:val="1002"/>
        </w:numPr>
        <w:pStyle w:val="Compact"/>
      </w:pPr>
      <w:r>
        <w:rPr>
          <w:bCs/>
          <w:b/>
        </w:rPr>
        <w:t xml:space="preserve">Phase 3: Document Analysis</w:t>
      </w:r>
      <w:r>
        <w:t xml:space="preserve"> </w:t>
      </w:r>
      <w:r>
        <w:t xml:space="preserve">– Archival review of 50 high-impact Wellington-based cases (2018–2023) focusing on judicial reasoning in culturally complex matters, comparing approaches with regional courts.</w:t>
      </w:r>
    </w:p>
    <w:p>
      <w:pPr>
        <w:pStyle w:val="FirstParagraph"/>
      </w:pPr>
      <w:r>
        <w:t xml:space="preserve">The research adheres to Te Tiriti o Waitangi principles through co-design with Māori legal scholars and community partners in Wellington. Data analysis will use grounded theory to identify patterns in how judges navigate cultural, institutional, and societal pressures unique to New Zealand's capital city.</w:t>
      </w:r>
    </w:p>
    <w:bookmarkEnd w:id="24"/>
    <w:bookmarkStart w:id="25" w:name="expected-outcomes-and-significance"/>
    <w:p>
      <w:pPr>
        <w:pStyle w:val="Heading2"/>
      </w:pPr>
      <w:r>
        <w:t xml:space="preserve">Expected Outcomes and Significance</w:t>
      </w:r>
    </w:p>
    <w:p>
      <w:pPr>
        <w:pStyle w:val="FirstParagraph"/>
      </w:pPr>
      <w:r>
        <w:t xml:space="preserve">This research promises three critical contributions:</w:t>
      </w:r>
    </w:p>
    <w:p>
      <w:pPr>
        <w:numPr>
          <w:ilvl w:val="0"/>
          <w:numId w:val="1003"/>
        </w:numPr>
        <w:pStyle w:val="Compact"/>
      </w:pPr>
      <w:r>
        <w:rPr>
          <w:bCs/>
          <w:b/>
        </w:rPr>
        <w:t xml:space="preserve">Theoretical</w:t>
      </w:r>
      <w:r>
        <w:t xml:space="preserve">: A nuanced model of "Wellington-centric judicial praxis" that redefines how we understand judge behavior beyond traditional legal formalism.</w:t>
      </w:r>
    </w:p>
    <w:p>
      <w:pPr>
        <w:numPr>
          <w:ilvl w:val="0"/>
          <w:numId w:val="1003"/>
        </w:numPr>
        <w:pStyle w:val="Compact"/>
      </w:pPr>
      <w:r>
        <w:rPr>
          <w:bCs/>
          <w:b/>
        </w:rPr>
        <w:t xml:space="preserve">Practical</w:t>
      </w:r>
      <w:r>
        <w:t xml:space="preserve">: Evidence-based guidelines for judicial training programs at the New Zealand Law Society, specifically addressing Wellington's role in national jurisprudence.</w:t>
      </w:r>
    </w:p>
    <w:p>
      <w:pPr>
        <w:numPr>
          <w:ilvl w:val="0"/>
          <w:numId w:val="1003"/>
        </w:numPr>
        <w:pStyle w:val="Compact"/>
      </w:pPr>
      <w:r>
        <w:rPr>
          <w:bCs/>
          <w:b/>
        </w:rPr>
        <w:t xml:space="preserve">Community Impact</w:t>
      </w:r>
      <w:r>
        <w:t xml:space="preserve">: Recommendations for enhancing public trust through transparent communication channels between judges and Wellington communities, particularly Māori and Pacific Islander groups disproportionately affected by court decisions.</w:t>
      </w:r>
    </w:p>
    <w:p>
      <w:pPr>
        <w:pStyle w:val="FirstParagraph"/>
      </w:pPr>
      <w:r>
        <w:t xml:space="preserve">Crucially, the study challenges the perception of judges as passive interpreters of law. Instead, it positions them as active participants in New Zealand's constitutional evolution – a role especially vital in Wellington where national policy shifts often originate from judicial precedent.</w:t>
      </w:r>
    </w:p>
    <w:bookmarkEnd w:id="25"/>
    <w:bookmarkStart w:id="26" w:name="timeline-and-resources"/>
    <w:p>
      <w:pPr>
        <w:pStyle w:val="Heading2"/>
      </w:pPr>
      <w:r>
        <w:t xml:space="preserve">Timeline and Resources</w:t>
      </w:r>
    </w:p>
    <w:p>
      <w:pPr>
        <w:pStyle w:val="FirstParagraph"/>
      </w:pPr>
      <w:r>
        <w:t xml:space="preserve">The proposed 18-month project (January 2025–June 2026) aligns with the academic calendar of Victoria University of Wellington, leveraging its proximity to court institutions. Key resources include:</w:t>
      </w:r>
    </w:p>
    <w:p>
      <w:pPr>
        <w:numPr>
          <w:ilvl w:val="0"/>
          <w:numId w:val="1004"/>
        </w:numPr>
        <w:pStyle w:val="Compact"/>
      </w:pPr>
      <w:r>
        <w:t xml:space="preserve">Access to Wellington courts via research agreement with the Judicial Council</w:t>
      </w:r>
    </w:p>
    <w:p>
      <w:pPr>
        <w:numPr>
          <w:ilvl w:val="0"/>
          <w:numId w:val="1004"/>
        </w:numPr>
        <w:pStyle w:val="Compact"/>
      </w:pPr>
      <w:r>
        <w:t xml:space="preserve">Partnerships with Te Wānanga o Raukawa (for tikanga integration) and the Wellington Law Society</w:t>
      </w:r>
    </w:p>
    <w:p>
      <w:pPr>
        <w:numPr>
          <w:ilvl w:val="0"/>
          <w:numId w:val="1004"/>
        </w:numPr>
        <w:pStyle w:val="Compact"/>
      </w:pPr>
      <w:r>
        <w:t xml:space="preserve">Project budget of $45,000 covering travel, transcription, and Māori co-researcher stipends</w:t>
      </w:r>
    </w:p>
    <w:bookmarkEnd w:id="26"/>
    <w:bookmarkStart w:id="27" w:name="X051d81443115b10899af1e78c85719c554f62dc"/>
    <w:p>
      <w:pPr>
        <w:pStyle w:val="Heading2"/>
      </w:pPr>
      <w:r>
        <w:t xml:space="preserve">Conclusion: Why This Matters in New Zealand Wellington</w:t>
      </w:r>
    </w:p>
    <w:p>
      <w:pPr>
        <w:pStyle w:val="FirstParagraph"/>
      </w:pPr>
      <w:r>
        <w:t xml:space="preserve">As New Zealand advances its Treaty-based legal transformation, the role of the</w:t>
      </w:r>
      <w:r>
        <w:t xml:space="preserve"> </w:t>
      </w:r>
      <w:r>
        <w:rPr>
          <w:iCs/>
          <w:i/>
        </w:rPr>
        <w:t xml:space="preserve">Judge</w:t>
      </w:r>
      <w:r>
        <w:t xml:space="preserve"> </w:t>
      </w:r>
      <w:r>
        <w:t xml:space="preserve">in Wellington is more consequential than ever. The city's courts do not merely administer justice – they set precedents that ripple across rural communities and international human rights frameworks. This Thesis Proposal therefore transcends academic inquiry; it offers a blueprint for building a judiciary that authentically reflects Aotearoa's bicultural foundation. By centering the</w:t>
      </w:r>
      <w:r>
        <w:t xml:space="preserve"> </w:t>
      </w:r>
      <w:r>
        <w:rPr>
          <w:iCs/>
          <w:i/>
        </w:rPr>
        <w:t xml:space="preserve">Judge</w:t>
      </w:r>
      <w:r>
        <w:t xml:space="preserve"> </w:t>
      </w:r>
      <w:r>
        <w:t xml:space="preserve">within New Zealand Wellington's specific social, cultural, and institutional fabric, this research will deliver actionable insights for legal reform while affirming the capital city's irreplaceable role in shaping New Zealand’s future.</w:t>
      </w:r>
    </w:p>
    <w:bookmarkEnd w:id="27"/>
    <w:bookmarkStart w:id="28" w:name="references-selected"/>
    <w:p>
      <w:pPr>
        <w:pStyle w:val="Heading2"/>
      </w:pPr>
      <w:r>
        <w:t xml:space="preserve">References (Selected)</w:t>
      </w:r>
    </w:p>
    <w:p>
      <w:pPr>
        <w:numPr>
          <w:ilvl w:val="0"/>
          <w:numId w:val="1005"/>
        </w:numPr>
        <w:pStyle w:val="Compact"/>
      </w:pPr>
      <w:r>
        <w:t xml:space="preserve">Gower, N., &amp; Wilson, M. (2020). *Judicial Diversity in New Zealand: Progress and Peril*. Wellington Law Review.</w:t>
      </w:r>
    </w:p>
    <w:p>
      <w:pPr>
        <w:numPr>
          <w:ilvl w:val="0"/>
          <w:numId w:val="1005"/>
        </w:numPr>
        <w:pStyle w:val="Compact"/>
      </w:pPr>
      <w:r>
        <w:t xml:space="preserve">Mikaere, A. (2017). *The Impact of Te Tiriti o Waitangi on Judicial Practice*. New Zealand Journal of Public and International Law.</w:t>
      </w:r>
    </w:p>
    <w:p>
      <w:pPr>
        <w:numPr>
          <w:ilvl w:val="0"/>
          <w:numId w:val="1005"/>
        </w:numPr>
        <w:pStyle w:val="Compact"/>
      </w:pPr>
      <w:r>
        <w:t xml:space="preserve">McHugh, B. (2018). *The Judiciary and the Constitution*. Institute of Policy Studies.</w:t>
      </w:r>
    </w:p>
    <w:p>
      <w:pPr>
        <w:numPr>
          <w:ilvl w:val="0"/>
          <w:numId w:val="1005"/>
        </w:numPr>
        <w:pStyle w:val="Compact"/>
      </w:pPr>
      <w:r>
        <w:t xml:space="preserve">Tuckey, A. (2015). *New Zealand's Judicial System: An Introduction*. Oxford University Press.</w:t>
      </w:r>
    </w:p>
    <w:p>
      <w:pPr>
        <w:pStyle w:val="FirstParagraph"/>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Judges in New Zealand's Legal Landscape - A Wellington Perspective</dc:title>
  <dc:creator/>
  <dc:language>en</dc:language>
  <cp:keywords/>
  <dcterms:created xsi:type="dcterms:W3CDTF">2026-07-23T23:23:50Z</dcterms:created>
  <dcterms:modified xsi:type="dcterms:W3CDTF">2026-07-23T23:23:50Z</dcterms:modified>
</cp:coreProperties>
</file>

<file path=docProps/custom.xml><?xml version="1.0" encoding="utf-8"?>
<Properties xmlns="http://schemas.openxmlformats.org/officeDocument/2006/custom-properties" xmlns:vt="http://schemas.openxmlformats.org/officeDocument/2006/docPropsVTypes"/>
</file>