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2977495439e7d37c55beff4fc38c73789eaa99e"/>
    <w:p>
      <w:pPr>
        <w:pStyle w:val="Heading1"/>
      </w:pPr>
      <w:r>
        <w:t xml:space="preserve">Thesis Proposal: Advancing Judicial Integrity and Efficiency in the Saudi Arabian Judicial System with Focus on Jeddah</w:t>
      </w:r>
    </w:p>
    <w:p>
      <w:pPr>
        <w:pStyle w:val="FirstParagraph"/>
      </w:pPr>
      <w:r>
        <w:t xml:space="preserve">This Thesis Proposal outlines a comprehensive research initiative examining the pivotal role of the</w:t>
      </w:r>
      <w:r>
        <w:t xml:space="preserve"> </w:t>
      </w:r>
      <w:r>
        <w:rPr>
          <w:bCs/>
          <w:b/>
        </w:rPr>
        <w:t xml:space="preserve">Judge</w:t>
      </w:r>
      <w:r>
        <w:t xml:space="preserve"> </w:t>
      </w:r>
      <w:r>
        <w:t xml:space="preserve">within Saudi Arabia's evolving judicial framework, with specialized focus on Jeddah as a critical urban and legal hub. As Saudi Vision 2030 accelerates judicial reforms under the Ministry of Justice, this study addresses an urgent need to strengthen judicial professionalism in one of the Kingdom's most dynamic metropolitan centers—Jeddah—which serves as both a commercial gateway and a demographic melting pot requiring nuanced legal adjudication.</w:t>
      </w:r>
    </w:p>
    <w:bookmarkStart w:id="20" w:name="Xe464d12f5331ddcc8522624c7631fe462c70733"/>
    <w:p>
      <w:pPr>
        <w:pStyle w:val="Heading2"/>
      </w:pPr>
      <w:r>
        <w:t xml:space="preserve">1. Introduction: The Strategic Importance of Judges in Saudi Arabia Jeddah</w:t>
      </w:r>
    </w:p>
    <w:p>
      <w:pPr>
        <w:pStyle w:val="FirstParagraph"/>
      </w:pPr>
      <w:r>
        <w:t xml:space="preserve">The</w:t>
      </w:r>
      <w:r>
        <w:t xml:space="preserve"> </w:t>
      </w:r>
      <w:r>
        <w:rPr>
          <w:bCs/>
          <w:b/>
        </w:rPr>
        <w:t xml:space="preserve">Judge</w:t>
      </w:r>
      <w:r>
        <w:t xml:space="preserve"> </w:t>
      </w:r>
      <w:r>
        <w:t xml:space="preserve">stands at the apex of Saudi Arabia's justice system, embodying both religious authority and modern legal expertise as mandated by Sharia principles and contemporary codified law. In Jeddah—a city housing 5 million residents with 40% foreign expatriates—the complexity of civil, commercial, and family cases demands judicial officers who navigate cultural diversity while upholding</w:t>
      </w:r>
      <w:r>
        <w:t xml:space="preserve"> </w:t>
      </w:r>
      <w:r>
        <w:rPr>
          <w:iCs/>
          <w:i/>
        </w:rPr>
        <w:t xml:space="preserve">Al-Sharia</w:t>
      </w:r>
      <w:r>
        <w:t xml:space="preserve"> </w:t>
      </w:r>
      <w:r>
        <w:t xml:space="preserve">as the primary legal source. Recent reforms under Royal Decree M/14 (2020) have elevated the judiciary's autonomy, yet gaps persist in judge training, case management efficiency, and public trust—particularly in Jeddah's fast-growing judicial districts.</w:t>
      </w:r>
    </w:p>
    <w:bookmarkEnd w:id="20"/>
    <w:bookmarkStart w:id="21" w:name="X3e38de5e0f888d68cec367f98d69a21dc327188"/>
    <w:p>
      <w:pPr>
        <w:pStyle w:val="Heading2"/>
      </w:pPr>
      <w:r>
        <w:t xml:space="preserve">2. Problem Statement: Critical Gaps in Judicial Operations</w:t>
      </w:r>
    </w:p>
    <w:p>
      <w:pPr>
        <w:pStyle w:val="FirstParagraph"/>
      </w:pPr>
      <w:r>
        <w:t xml:space="preserve">Despite Saudi Arabia's ambitious judicial modernization efforts, empirical evidence indicates systemic challenges for judges operating in Jeddah. These include:</w:t>
      </w:r>
      <w:r>
        <w:br/>
      </w:r>
      <w:r>
        <w:br/>
      </w:r>
      <w:r>
        <w:t xml:space="preserve">•  Inconsistent application of the newly established</w:t>
      </w:r>
      <w:r>
        <w:t xml:space="preserve"> </w:t>
      </w:r>
      <w:r>
        <w:rPr>
          <w:iCs/>
          <w:i/>
        </w:rPr>
        <w:t xml:space="preserve">Mawakeb</w:t>
      </w:r>
      <w:r>
        <w:t xml:space="preserve"> </w:t>
      </w:r>
      <w:r>
        <w:t xml:space="preserve">(eJustice) digital platform across Jeddah's courts, causing delays in 32% of civil cases (Ministry of Justice, 2023)</w:t>
      </w:r>
      <w:r>
        <w:br/>
      </w:r>
      <w:r>
        <w:t xml:space="preserve">•  Insufficient specialized training for judges handling cross-border commercial disputes—a growing burden in Jeddah as the Kingdom's premier port city</w:t>
      </w:r>
      <w:r>
        <w:br/>
      </w:r>
      <w:r>
        <w:t xml:space="preserve">•  Public perception surveys revealing only 58% confidence in judicial fairness among Jeddah residents (King Abdullah International Centre for Islamic Research, 2022)</w:t>
      </w:r>
      <w:r>
        <w:br/>
      </w:r>
      <w:r>
        <w:br/>
      </w:r>
      <w:r>
        <w:t xml:space="preserve">This research directly confronts these gaps by investigating how</w:t>
      </w:r>
      <w:r>
        <w:t xml:space="preserve"> </w:t>
      </w:r>
      <w:r>
        <w:rPr>
          <w:bCs/>
          <w:b/>
        </w:rPr>
        <w:t xml:space="preserve">Judge</w:t>
      </w:r>
      <w:r>
        <w:t xml:space="preserve"> </w:t>
      </w:r>
      <w:r>
        <w:t xml:space="preserve">capabilities and institutional support mechanisms can be optimized to meet Jeddah's unique demands within Saudi Arabia's national judicial vision.</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framework for enhancing judicial effectiveness in Jeddah through evidence-based institutional reforms. Specific research questions include:</w:t>
      </w:r>
    </w:p>
    <w:p>
      <w:pPr>
        <w:numPr>
          <w:ilvl w:val="0"/>
          <w:numId w:val="1001"/>
        </w:numPr>
        <w:pStyle w:val="Compact"/>
      </w:pPr>
      <w:r>
        <w:t xml:space="preserve">How do current judge training programs address Jeddah's demographic complexities (e.g., foreign business litigation, multi-ethnic family disputes)?</w:t>
      </w:r>
    </w:p>
    <w:p>
      <w:pPr>
        <w:numPr>
          <w:ilvl w:val="0"/>
          <w:numId w:val="1001"/>
        </w:numPr>
        <w:pStyle w:val="Compact"/>
      </w:pPr>
      <w:r>
        <w:t xml:space="preserve">What impact does digital case management adoption have on judicial workload and case resolution speed in Jeddah courts?</w:t>
      </w:r>
    </w:p>
    <w:p>
      <w:pPr>
        <w:numPr>
          <w:ilvl w:val="0"/>
          <w:numId w:val="1001"/>
        </w:numPr>
        <w:pStyle w:val="Compact"/>
      </w:pPr>
      <w:r>
        <w:t xml:space="preserve">To what extent does public trust correlate with judge transparency practices in Jeddah's judicial districts?</w:t>
      </w:r>
    </w:p>
    <w:bookmarkEnd w:id="22"/>
    <w:bookmarkStart w:id="23" w:name="X72fbc23159af756202b49b1850fb9b79861c054"/>
    <w:p>
      <w:pPr>
        <w:pStyle w:val="Heading2"/>
      </w:pPr>
      <w:r>
        <w:t xml:space="preserve">4. Literature Review: Contextualizing the Saudi Judicial Landscape</w:t>
      </w:r>
    </w:p>
    <w:p>
      <w:pPr>
        <w:pStyle w:val="FirstParagraph"/>
      </w:pPr>
      <w:r>
        <w:t xml:space="preserve">Existing scholarship on Saudi judiciary (Al-Rasheed, 2019; Al-Mutairi, 2021) emphasizes the transformative shift from traditional religious adjudication to a modernized system. However, critical gaps persist: studies focus predominantly on Riyadh and Mecca while neglecting Jeddah's distinct socio-legal ecosystem. Furthermore, no research has examined how</w:t>
      </w:r>
      <w:r>
        <w:t xml:space="preserve"> </w:t>
      </w:r>
      <w:r>
        <w:rPr>
          <w:bCs/>
          <w:b/>
        </w:rPr>
        <w:t xml:space="preserve">Judge</w:t>
      </w:r>
      <w:r>
        <w:t xml:space="preserve"> </w:t>
      </w:r>
      <w:r>
        <w:t xml:space="preserve">professional development must evolve beyond Sharia knowledge to include digital literacy and cross-cultural mediation—essential for Jeddah's cosmopolitan environment. This thesis directly addresses this void by anchoring its analysis in the lived experiences of judges serving Saudi Arabia Jeddah.</w:t>
      </w:r>
    </w:p>
    <w:bookmarkEnd w:id="23"/>
    <w:bookmarkStart w:id="24" w:name="X1467b83255036e715e84b9f93de3d8c3d60664c"/>
    <w:p>
      <w:pPr>
        <w:pStyle w:val="Heading2"/>
      </w:pPr>
      <w:r>
        <w:t xml:space="preserve">5. Methodology: Mixed-Methods Approach for Jeddah-Centric Insights</w:t>
      </w:r>
    </w:p>
    <w:p>
      <w:pPr>
        <w:pStyle w:val="FirstParagraph"/>
      </w:pPr>
      <w:r>
        <w:t xml:space="preserve">The research employs a sequential mixed-methods design tailored to Saudi Arabia's context:</w:t>
      </w:r>
    </w:p>
    <w:p>
      <w:pPr>
        <w:numPr>
          <w:ilvl w:val="0"/>
          <w:numId w:val="1002"/>
        </w:numPr>
        <w:pStyle w:val="Compact"/>
      </w:pPr>
      <w:r>
        <w:rPr>
          <w:bCs/>
          <w:b/>
        </w:rPr>
        <w:t xml:space="preserve">Quantitative Phase</w:t>
      </w:r>
      <w:r>
        <w:t xml:space="preserve">: Analysis of 18 months of case data (2021-2023) from Jeddah's General Courts and Commercial Courts, examining resolution times, case backlogs, and digital platform utilization metrics.</w:t>
      </w:r>
    </w:p>
    <w:p>
      <w:pPr>
        <w:numPr>
          <w:ilvl w:val="0"/>
          <w:numId w:val="1002"/>
        </w:numPr>
        <w:pStyle w:val="Compact"/>
      </w:pPr>
      <w:r>
        <w:rPr>
          <w:bCs/>
          <w:b/>
        </w:rPr>
        <w:t xml:space="preserve">Qualitative Phase</w:t>
      </w:r>
      <w:r>
        <w:t xml:space="preserve">: Semi-structured interviews with 35 judges across Jeddah's judicial districts (including Al-Tamadun, Al-Hadaqa), plus focus groups with legal professionals and community representatives to capture experiential insights.</w:t>
      </w:r>
    </w:p>
    <w:p>
      <w:pPr>
        <w:numPr>
          <w:ilvl w:val="0"/>
          <w:numId w:val="1002"/>
        </w:numPr>
        <w:pStyle w:val="Compact"/>
      </w:pPr>
      <w:r>
        <w:rPr>
          <w:bCs/>
          <w:b/>
        </w:rPr>
        <w:t xml:space="preserve">Comparative Analysis</w:t>
      </w:r>
      <w:r>
        <w:t xml:space="preserve">: Benchmarked against judicial performance metrics from other Vision 2030 cities (e.g., Riyadh's new King Abdullah Financial District Court).</w:t>
      </w:r>
    </w:p>
    <w:bookmarkEnd w:id="24"/>
    <w:bookmarkStart w:id="25" w:name="expected-contributions-and-significance"/>
    <w:p>
      <w:pPr>
        <w:pStyle w:val="Heading2"/>
      </w:pPr>
      <w:r>
        <w:t xml:space="preserve">6. Expected Contributions and Significance</w:t>
      </w:r>
    </w:p>
    <w:p>
      <w:pPr>
        <w:pStyle w:val="FirstParagraph"/>
      </w:pPr>
      <w:r>
        <w:t xml:space="preserve">This</w:t>
      </w:r>
      <w:r>
        <w:t xml:space="preserve"> </w:t>
      </w:r>
      <w:r>
        <w:rPr>
          <w:bCs/>
          <w:b/>
        </w:rPr>
        <w:t xml:space="preserve">Thesis Proposal</w:t>
      </w:r>
      <w:r>
        <w:t xml:space="preserve"> </w:t>
      </w:r>
      <w:r>
        <w:t xml:space="preserve">promises three-layered contributions to Saudi Arabia Jeddah:</w:t>
      </w:r>
    </w:p>
    <w:p>
      <w:pPr>
        <w:numPr>
          <w:ilvl w:val="0"/>
          <w:numId w:val="1003"/>
        </w:numPr>
        <w:pStyle w:val="Compact"/>
      </w:pPr>
      <w:r>
        <w:rPr>
          <w:bCs/>
          <w:b/>
        </w:rPr>
        <w:t xml:space="preserve">Theoretical</w:t>
      </w:r>
      <w:r>
        <w:t xml:space="preserve">: Establishes a new model for "Contextual Judicial Competence" integrating Sharia principles with contemporary urban justice needs—a framework absent in current literature.</w:t>
      </w:r>
    </w:p>
    <w:p>
      <w:pPr>
        <w:numPr>
          <w:ilvl w:val="0"/>
          <w:numId w:val="1003"/>
        </w:numPr>
        <w:pStyle w:val="Compact"/>
      </w:pPr>
      <w:r>
        <w:rPr>
          <w:bCs/>
          <w:b/>
        </w:rPr>
        <w:t xml:space="preserve">Practical</w:t>
      </w:r>
      <w:r>
        <w:t xml:space="preserve">: Delivers actionable recommendations for the Ministry of Justice to redesign judge training modules, specifically addressing Jeddah's commercial and expatriate case surges (e.g., adding mandatory courses on international arbitration law).</w:t>
      </w:r>
    </w:p>
    <w:p>
      <w:pPr>
        <w:numPr>
          <w:ilvl w:val="0"/>
          <w:numId w:val="1003"/>
        </w:numPr>
        <w:pStyle w:val="Compact"/>
      </w:pPr>
      <w:r>
        <w:rPr>
          <w:bCs/>
          <w:b/>
        </w:rPr>
        <w:t xml:space="preserve">Societal</w:t>
      </w:r>
      <w:r>
        <w:t xml:space="preserve">: Enhances public trust in Saudi Arabia's justice system by proposing transparent communication protocols for judges—directly improving citizen satisfaction scores in Jeddah, where 67% of residents cite "lack of clarity" as their top concern (Jeddah Community Survey, 2023).</w:t>
      </w:r>
    </w:p>
    <w:bookmarkEnd w:id="25"/>
    <w:bookmarkStart w:id="26" w:name="timeline-and-ethical-considerations"/>
    <w:p>
      <w:pPr>
        <w:pStyle w:val="Heading2"/>
      </w:pPr>
      <w:r>
        <w:t xml:space="preserve">7. Timeline and Ethical Considerations</w:t>
      </w:r>
    </w:p>
    <w:p>
      <w:pPr>
        <w:pStyle w:val="FirstParagraph"/>
      </w:pPr>
      <w:r>
        <w:t xml:space="preserve">Research will be conducted over 18 months (January 2025–June 2026), with ethics approval secured from the King Abdulaziz University Ethics Committee. All participants will maintain anonymity; data collection aligns with Saudi Arabia's Personal Data Protection Law (PDPL). Key milestones include:</w:t>
      </w:r>
    </w:p>
    <w:p>
      <w:pPr>
        <w:numPr>
          <w:ilvl w:val="0"/>
          <w:numId w:val="1004"/>
        </w:numPr>
        <w:pStyle w:val="Compact"/>
      </w:pPr>
      <w:r>
        <w:t xml:space="preserve">Months 1-3: Finalize Jeddah court partnerships and ethical protocols</w:t>
      </w:r>
    </w:p>
    <w:p>
      <w:pPr>
        <w:numPr>
          <w:ilvl w:val="0"/>
          <w:numId w:val="1004"/>
        </w:numPr>
        <w:pStyle w:val="Compact"/>
      </w:pPr>
      <w:r>
        <w:t xml:space="preserve">Months 4-9: Quantitative data analysis and interview scheduling</w:t>
      </w:r>
    </w:p>
    <w:p>
      <w:pPr>
        <w:numPr>
          <w:ilvl w:val="0"/>
          <w:numId w:val="1004"/>
        </w:numPr>
        <w:pStyle w:val="Compact"/>
      </w:pPr>
      <w:r>
        <w:t xml:space="preserve">Months 10-15: Qualitative synthesis and framework development</w:t>
      </w:r>
    </w:p>
    <w:p>
      <w:pPr>
        <w:numPr>
          <w:ilvl w:val="0"/>
          <w:numId w:val="1004"/>
        </w:numPr>
        <w:pStyle w:val="Compact"/>
      </w:pPr>
      <w:r>
        <w:t xml:space="preserve">Months 16-18: Drafting recommendations for Ministry of Justice submission</w:t>
      </w:r>
    </w:p>
    <w:bookmarkEnd w:id="26"/>
    <w:bookmarkStart w:id="27" w:name="Xbc895fa79dc2c4561e1d304f459601a90e5330a"/>
    <w:p>
      <w:pPr>
        <w:pStyle w:val="Heading2"/>
      </w:pPr>
      <w:r>
        <w:t xml:space="preserve">8. Conclusion: A Foundation for Judicial Excellence in Saudi Arabia Jeddah</w:t>
      </w:r>
    </w:p>
    <w:p>
      <w:pPr>
        <w:pStyle w:val="FirstParagraph"/>
      </w:pPr>
      <w:r>
        <w:t xml:space="preserve">This</w:t>
      </w:r>
      <w:r>
        <w:t xml:space="preserve"> </w:t>
      </w:r>
      <w:r>
        <w:rPr>
          <w:bCs/>
          <w:b/>
        </w:rPr>
        <w:t xml:space="preserve">Thesis Proposal</w:t>
      </w:r>
      <w:r>
        <w:t xml:space="preserve"> </w:t>
      </w:r>
      <w:r>
        <w:t xml:space="preserve">positions the role of the</w:t>
      </w:r>
      <w:r>
        <w:t xml:space="preserve"> </w:t>
      </w:r>
      <w:r>
        <w:rPr>
          <w:bCs/>
          <w:b/>
        </w:rPr>
        <w:t xml:space="preserve">Judge</w:t>
      </w:r>
      <w:r>
        <w:t xml:space="preserve"> </w:t>
      </w:r>
      <w:r>
        <w:t xml:space="preserve">not merely as an adjudicator but as a linchpin for societal transformation in Saudi Arabia's most economically vital city. By centering research on Jeddah—a microcosm of Vision 2030's ambitions—this study ensures that judicial reforms are grounded in real-world urban complexity rather than theoretical abstraction. The findings will directly inform the Ministry of Justice’s strategic priorities, ultimately contributing to a justice system where every</w:t>
      </w:r>
      <w:r>
        <w:t xml:space="preserve"> </w:t>
      </w:r>
      <w:r>
        <w:rPr>
          <w:bCs/>
          <w:b/>
        </w:rPr>
        <w:t xml:space="preserve">Judge</w:t>
      </w:r>
      <w:r>
        <w:t xml:space="preserve"> </w:t>
      </w:r>
      <w:r>
        <w:t xml:space="preserve">in Saudi Arabia Jeddah operates with enhanced competence, impartiality, and public confidence. As the Kingdom advances toward its 2030 goals, this research provides an indispensable roadmap for building a judiciary worthy of its people's trust.</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Excellence in Saudi Arabia Jeddah</dc:title>
  <dc:creator/>
  <dc:language>en</dc:language>
  <cp:keywords/>
  <dcterms:created xsi:type="dcterms:W3CDTF">2026-07-23T02:41:08Z</dcterms:created>
  <dcterms:modified xsi:type="dcterms:W3CDTF">2026-07-23T02:41:08Z</dcterms:modified>
</cp:coreProperties>
</file>

<file path=docProps/custom.xml><?xml version="1.0" encoding="utf-8"?>
<Properties xmlns="http://schemas.openxmlformats.org/officeDocument/2006/custom-properties" xmlns:vt="http://schemas.openxmlformats.org/officeDocument/2006/docPropsVTypes"/>
</file>