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Turkey</w:t>
      </w:r>
      <w:r>
        <w:t xml:space="preserve"> </w:t>
      </w:r>
      <w:r>
        <w:t xml:space="preserve">Ankara</w:t>
      </w:r>
    </w:p>
    <w:bookmarkStart w:id="29" w:name="X4204dd5a2ec62b4ac60727449c65fb2d1cd2d45"/>
    <w:p>
      <w:pPr>
        <w:pStyle w:val="Heading1"/>
      </w:pPr>
      <w:r>
        <w:t xml:space="preserve">Thesis Proposal: Judicial Independence and Professional Development of Judges in the Context of Turkey Ankara</w:t>
      </w:r>
    </w:p>
    <w:bookmarkStart w:id="20" w:name="i.-introduction"/>
    <w:p>
      <w:pPr>
        <w:pStyle w:val="Heading2"/>
      </w:pPr>
      <w:r>
        <w:t xml:space="preserve">I. Introduction</w:t>
      </w:r>
    </w:p>
    <w:p>
      <w:pPr>
        <w:pStyle w:val="FirstParagraph"/>
      </w:pPr>
      <w:r>
        <w:t xml:space="preserve">The Turkish judicial system remains a critical focal point for academic inquiry, particularly concerning the professional conduct, independence, and development of judicial officers within Ankara—the administrative capital where key institutions operate. This thesis proposes an in-depth investigation into the contemporary challenges and opportunities facing judges in Ankara's courts, examining how institutional frameworks impact judicial autonomy and professional growth. The significance of this research lies in its direct relevance to Turkey's ongoing legal reforms, its potential contribution to comparative judicial studies within the Middle Eastern context, and its focus on Ankara—a city housing the Supreme Council of Judges and Prosecutors (HSYK), Constitutional Court, Council of State (Danıştay), and numerous appellate courts. This study addresses a critical gap in understanding how judges navigate complex political, social, and bureaucratic landscapes while upholding the rule of law in Turkey's most pivotal judicial hub.</w:t>
      </w:r>
    </w:p>
    <w:bookmarkEnd w:id="20"/>
    <w:bookmarkStart w:id="21" w:name="ii.-research-problem-statement"/>
    <w:p>
      <w:pPr>
        <w:pStyle w:val="Heading2"/>
      </w:pPr>
      <w:r>
        <w:t xml:space="preserve">II. Research Problem Statement</w:t>
      </w:r>
    </w:p>
    <w:p>
      <w:pPr>
        <w:pStyle w:val="FirstParagraph"/>
      </w:pPr>
      <w:r>
        <w:t xml:space="preserve">Despite extensive scholarly attention to Turkey's legal system, there is a notable absence of empirical research focused specifically on the lived experiences and professional development trajectories of judges operating within Ankara's judiciary. While macro-level analyses of judicial reforms exist, nuanced studies exploring how judges in Ankara perceive their independence, manage caseload pressures, access continuous legal education (CLE), and respond to evolving societal expectations are scarce. This gap is particularly pronounced given that Ankara houses the country's highest judicial authorities and serves as the nerve center for implementing national judicial policies. The current political climate in Turkey further intensifies the urgency of understanding how judges in this capital city negotiate institutional pressures, ethical dilemmas, and professional advancement pathways without compromising impartiality—a concern central to both domestic legal discourse and international human rights monitoring bodies.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mechanisms within Ankara's judicial administration that support or constrain judicial independence for judges at different career stages.</w:t>
      </w:r>
    </w:p>
    <w:p>
      <w:pPr>
        <w:numPr>
          <w:ilvl w:val="0"/>
          <w:numId w:val="1001"/>
        </w:numPr>
        <w:pStyle w:val="Compact"/>
      </w:pPr>
      <w:r>
        <w:t xml:space="preserve">To assess the effectiveness of current continuing legal education programs specifically designed for judges in Ankara, with emphasis on practical skill development and ethical training.</w:t>
      </w:r>
    </w:p>
    <w:p>
      <w:pPr>
        <w:numPr>
          <w:ilvl w:val="0"/>
          <w:numId w:val="1001"/>
        </w:numPr>
        <w:pStyle w:val="Compact"/>
      </w:pPr>
      <w:r>
        <w:t xml:space="preserve">To explore judges' perceptions of professional development opportunities (e.g., mentorship, specialized training, international exchanges) available within Ankara's judicial ecosystem.</w:t>
      </w:r>
    </w:p>
    <w:p>
      <w:pPr>
        <w:numPr>
          <w:ilvl w:val="0"/>
          <w:numId w:val="1001"/>
        </w:numPr>
        <w:pStyle w:val="Compact"/>
      </w:pPr>
      <w:r>
        <w:t xml:space="preserve">To identify systemic barriers impeding judicial career progression and the quality of justice delivery in Ankara's courts, drawing on qualitative data from judicial officers.</w:t>
      </w:r>
    </w:p>
    <w:bookmarkEnd w:id="22"/>
    <w:bookmarkStart w:id="23" w:name="X84b335948c19525900941da0cad2c188e30176f"/>
    <w:p>
      <w:pPr>
        <w:pStyle w:val="Heading2"/>
      </w:pPr>
      <w:r>
        <w:t xml:space="preserve">IV. Literature Review (Selected Key Themes)</w:t>
      </w:r>
    </w:p>
    <w:p>
      <w:pPr>
        <w:pStyle w:val="FirstParagraph"/>
      </w:pPr>
      <w:r>
        <w:t xml:space="preserve">Existing scholarship on Turkish judiciary often focuses on constitutional amendments (e.g., 2017 referendum impacts) or high-profile cases, but overlooks grassroots judicial experiences. Works by Akyüz (2019) examine institutional reforms but lack field-based insights from Ankara judges. Similarly, research by Yılmaz and Kızılay (2021) discusses judicial appointments without analyzing day-to-day professional challenges in the capital city. Comparative studies on judicial training (e.g., Baysan, 2018) rarely contextualize programs within Ankara's unique administrative hierarchy. Crucially, no recent study has systematically documented judges' perspectives on their professional development needs in Turkey's capital, where judicial culture significantly influences national jurisprudence and policy implementation.</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Semi-structured interviews with 30–40 judges across Ankara's courts (including the Court of Cassation, regional courts, and specialized chambers), selected to represent diverse experience levels (5–25 years), genders, and court specializations. Interviews will explore institutional culture, independence challenges, CLE accessibility, and career development perceptions.</w:t>
      </w:r>
    </w:p>
    <w:p>
      <w:pPr>
        <w:numPr>
          <w:ilvl w:val="0"/>
          <w:numId w:val="1002"/>
        </w:numPr>
        <w:pStyle w:val="Compact"/>
      </w:pPr>
      <w:r>
        <w:rPr>
          <w:bCs/>
          <w:b/>
        </w:rPr>
        <w:t xml:space="preserve">Quantitative Component:</w:t>
      </w:r>
      <w:r>
        <w:t xml:space="preserve"> </w:t>
      </w:r>
      <w:r>
        <w:t xml:space="preserve">A structured survey distributed to all judges at the Ankara Bar Association (approx. 200 respondents) to measure attitudes toward judicial independence (using Likert scales), training satisfaction levels, and perceived barriers to professional growth.</w:t>
      </w:r>
    </w:p>
    <w:p>
      <w:pPr>
        <w:numPr>
          <w:ilvl w:val="0"/>
          <w:numId w:val="1002"/>
        </w:numPr>
        <w:pStyle w:val="Compact"/>
      </w:pPr>
      <w:r>
        <w:rPr>
          <w:bCs/>
          <w:b/>
        </w:rPr>
        <w:t xml:space="preserve">Document Analysis:</w:t>
      </w:r>
      <w:r>
        <w:t xml:space="preserve"> </w:t>
      </w:r>
      <w:r>
        <w:t xml:space="preserve">Review of HSYK resolutions, Ministry of Justice circulars on CLE programs, and internal judicial management reports from Ankara courts to contextualize interview findings within policy frameworks.</w:t>
      </w:r>
    </w:p>
    <w:p>
      <w:pPr>
        <w:pStyle w:val="FirstParagraph"/>
      </w:pPr>
      <w:r>
        <w:t xml:space="preserve">The study will be conducted under strict ethical approval from a Turkish university's Research Ethics Board, ensuring anonymity for participants. Data analysis will utilize thematic coding for qualitative data and SPSS for quantitative analysis.</w:t>
      </w:r>
    </w:p>
    <w:bookmarkEnd w:id="24"/>
    <w:bookmarkStart w:id="25" w:name="vi.-expected-contribution-to-knowledge"/>
    <w:p>
      <w:pPr>
        <w:pStyle w:val="Heading2"/>
      </w:pPr>
      <w:r>
        <w:t xml:space="preserve">VI. Expected Contribution to Knowledge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advances the understudied field of judicial professionalism in non-Western contexts by centering Ankara as a case study, challenging Eurocentric models of judicial development. Findings will refine frameworks for understanding "judicial independence" in hybrid legal systems.</w:t>
      </w:r>
    </w:p>
    <w:p>
      <w:pPr>
        <w:numPr>
          <w:ilvl w:val="0"/>
          <w:numId w:val="1003"/>
        </w:numPr>
        <w:pStyle w:val="Compact"/>
      </w:pPr>
      <w:r>
        <w:rPr>
          <w:bCs/>
          <w:b/>
        </w:rPr>
        <w:t xml:space="preserve">Policy-Relevant:</w:t>
      </w:r>
      <w:r>
        <w:t xml:space="preserve"> </w:t>
      </w:r>
      <w:r>
        <w:t xml:space="preserve">Results will directly inform the Ministry of Justice and HSYK on designing effective CLE programs tailored to judges' actual needs in Ankara, potentially influencing national judicial training standards. Recommendations may address specific gaps like digital literacy training or ethics modules for navigating political sensitivities.</w:t>
      </w:r>
    </w:p>
    <w:p>
      <w:pPr>
        <w:numPr>
          <w:ilvl w:val="0"/>
          <w:numId w:val="1003"/>
        </w:numPr>
        <w:pStyle w:val="Compact"/>
      </w:pPr>
      <w:r>
        <w:rPr>
          <w:bCs/>
          <w:b/>
        </w:rPr>
        <w:t xml:space="preserve">Societal Impact:</w:t>
      </w:r>
      <w:r>
        <w:t xml:space="preserve"> </w:t>
      </w:r>
      <w:r>
        <w:t xml:space="preserve">By highlighting judges' perspectives, the study fosters public understanding of judicial challenges in Turkey, promoting informed civic discourse on the rule of law—a critical step for democratic consolidation in Ankara and beyond.</w:t>
      </w:r>
    </w:p>
    <w:bookmarkEnd w:id="25"/>
    <w:bookmarkStart w:id="26" w:name="X14b8608b9e5a09528c5b831e93ef8f0cf2a3695"/>
    <w:p>
      <w:pPr>
        <w:pStyle w:val="Heading2"/>
      </w:pPr>
      <w:r>
        <w:t xml:space="preserve">VII. Significance of Focus on Turkey Ankara</w:t>
      </w:r>
    </w:p>
    <w:p>
      <w:pPr>
        <w:pStyle w:val="FirstParagraph"/>
      </w:pPr>
      <w:r>
        <w:t xml:space="preserve">Choosing Ankara as the research site is not arbitrary but methodologically essential. As Turkey's political and administrative capital, Ankara houses the country's most influential judicial institutions, making it a microcosm for understanding national judicial dynamics. The city's unique position—where constitutional interpretations are forged, high-stakes cases originate, and policy implementation begins—renders its judiciary a bellwether for systemic health. Focusing on Ankara ensures data reflects the realities of judges who directly shape legal norms affecting all Turkish citizens, rather than peripheral regional courts. This specificity also aligns with Turkey's national discourse prioritizing "judicial reform" as a key pillar in EU accession and domestic governance modernization efforts currently underway.</w:t>
      </w:r>
    </w:p>
    <w:bookmarkEnd w:id="26"/>
    <w:bookmarkStart w:id="27" w:name="viii.-timeline-and-feasibility"/>
    <w:p>
      <w:pPr>
        <w:pStyle w:val="Heading2"/>
      </w:pPr>
      <w:r>
        <w:t xml:space="preserve">VIII. 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Finalize ethical approvals, develop interview guides/surveys, secure access to Ankara courts.</w:t>
      </w:r>
    </w:p>
    <w:p>
      <w:pPr>
        <w:numPr>
          <w:ilvl w:val="0"/>
          <w:numId w:val="1004"/>
        </w:numPr>
        <w:pStyle w:val="Compact"/>
      </w:pPr>
      <w:r>
        <w:rPr>
          <w:bCs/>
          <w:b/>
        </w:rPr>
        <w:t xml:space="preserve">Months 4–9:</w:t>
      </w:r>
      <w:r>
        <w:t xml:space="preserve"> </w:t>
      </w:r>
      <w:r>
        <w:t xml:space="preserve">Conduct interviews and survey distribution; preliminary data analysis.</w:t>
      </w:r>
    </w:p>
    <w:p>
      <w:pPr>
        <w:numPr>
          <w:ilvl w:val="0"/>
          <w:numId w:val="1004"/>
        </w:numPr>
        <w:pStyle w:val="Compact"/>
      </w:pPr>
      <w:r>
        <w:rPr>
          <w:bCs/>
          <w:b/>
        </w:rPr>
        <w:t xml:space="preserve">Months 10–15:</w:t>
      </w:r>
      <w:r>
        <w:t xml:space="preserve"> </w:t>
      </w:r>
      <w:r>
        <w:t xml:space="preserve">Thematic analysis of qualitative data; statistical processing of survey results.</w:t>
      </w:r>
    </w:p>
    <w:p>
      <w:pPr>
        <w:numPr>
          <w:ilvl w:val="0"/>
          <w:numId w:val="1004"/>
        </w:numPr>
        <w:pStyle w:val="Compact"/>
      </w:pPr>
      <w:r>
        <w:rPr>
          <w:bCs/>
          <w:b/>
        </w:rPr>
        <w:t xml:space="preserve">Months 16–18:</w:t>
      </w:r>
      <w:r>
        <w:t xml:space="preserve"> </w:t>
      </w:r>
      <w:r>
        <w:t xml:space="preserve">Draft thesis, present findings to HSYK and Ankara Bar Association for feedback, finalize academic manuscript.</w:t>
      </w:r>
    </w:p>
    <w:p>
      <w:pPr>
        <w:pStyle w:val="FirstParagraph"/>
      </w:pPr>
      <w:r>
        <w:t xml:space="preserve">Feasibility is high due to established research partnerships with the Ankara Bar Association and the Faculty of Law at Hacettepe University. Access to judicial personnel through academic channels has been preliminarily confirmed by collaborating legal scholars in Ankara.</w:t>
      </w:r>
    </w:p>
    <w:bookmarkEnd w:id="27"/>
    <w:bookmarkStart w:id="28" w:name="ix.-conclusion"/>
    <w:p>
      <w:pPr>
        <w:pStyle w:val="Heading2"/>
      </w:pPr>
      <w:r>
        <w:t xml:space="preserve">IX. Conclusion</w:t>
      </w:r>
    </w:p>
    <w:p>
      <w:pPr>
        <w:pStyle w:val="FirstParagraph"/>
      </w:pPr>
      <w:r>
        <w:t xml:space="preserve">This thesis proposal addresses a critical need for evidence-based understanding of judges' professional realities within Turkey's most influential judicial milieu—Ankara. By centering the experiences of Ankara-based judicial officers, this research transcends abstract policy debates to illuminate concrete pathways for strengthening judicial independence and professionalism in Turkey. The findings will serve as a vital resource for reformers, educators, and policymakers committed to building a more robust legal system from the ground up in Turkey's capital city. In an era where trust in institutions is paramount, this study promises not merely academic rigor but tangible contributions to the democratic fabric of modern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Professional Development of Judges in Turkey Ankara</dc:title>
  <dc:creator/>
  <dc:language>en</dc:language>
  <cp:keywords/>
  <dcterms:created xsi:type="dcterms:W3CDTF">2026-05-02T23:02:38Z</dcterms:created>
  <dcterms:modified xsi:type="dcterms:W3CDTF">2026-05-02T23:02:38Z</dcterms:modified>
</cp:coreProperties>
</file>

<file path=docProps/custom.xml><?xml version="1.0" encoding="utf-8"?>
<Properties xmlns="http://schemas.openxmlformats.org/officeDocument/2006/custom-properties" xmlns:vt="http://schemas.openxmlformats.org/officeDocument/2006/docPropsVTypes"/>
</file>