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Australia</w:t>
      </w:r>
      <w:r>
        <w:t xml:space="preserve"> </w:t>
      </w:r>
      <w:r>
        <w:t xml:space="preserve">Melbourne's</w:t>
      </w:r>
      <w:r>
        <w:t xml:space="preserve"> </w:t>
      </w:r>
      <w:r>
        <w:t xml:space="preserve">Scientific</w:t>
      </w:r>
      <w:r>
        <w:t xml:space="preserve"> </w:t>
      </w:r>
      <w:r>
        <w:t xml:space="preserve">Ecosystem</w:t>
      </w:r>
    </w:p>
    <w:bookmarkStart w:id="31" w:name="X3074a345a03b20f680131db9de528f24bb151b4"/>
    <w:p>
      <w:pPr>
        <w:pStyle w:val="Heading1"/>
      </w:pPr>
      <w:r>
        <w:t xml:space="preserve">Thesis Proposal: Advancing Laboratory Technician Roles in Australia Melbourne's Scientific Ecosystem</w:t>
      </w:r>
    </w:p>
    <w:bookmarkStart w:id="20" w:name="introduction"/>
    <w:p>
      <w:pPr>
        <w:pStyle w:val="Heading2"/>
      </w:pPr>
      <w:r>
        <w:t xml:space="preserve">1. Introduction</w:t>
      </w:r>
    </w:p>
    <w:p>
      <w:pPr>
        <w:pStyle w:val="FirstParagraph"/>
      </w:pPr>
      <w:r>
        <w:t xml:space="preserve">The role of the Laboratory Technician stands as a critical yet often underrecognized pillar within Australia's scientific and healthcare infrastructure. In Melbourne—a global hub for biomedical research, pharmaceutical innovation, and environmental science—the demand for skilled Laboratory Technicians has surged exponentially in recent years. This Thesis Proposal outlines a comprehensive investigation into the evolving responsibilities, professional development pathways, and systemic challenges facing Laboratory Technicians operating within Australia Melbourne's dynamic laboratory networks. With Victoria's biotechnology sector projected to grow at 7.2% annually (Deloitte Access Economics, 2023), this research directly addresses the urgent need to formalize competency frameworks and enhance career progression structures for this essential workforce.</w:t>
      </w:r>
    </w:p>
    <w:bookmarkEnd w:id="20"/>
    <w:bookmarkStart w:id="21" w:name="background-and-significance"/>
    <w:p>
      <w:pPr>
        <w:pStyle w:val="Heading2"/>
      </w:pPr>
      <w:r>
        <w:t xml:space="preserve">2. Background and Significance</w:t>
      </w:r>
    </w:p>
    <w:p>
      <w:pPr>
        <w:pStyle w:val="FirstParagraph"/>
      </w:pPr>
      <w:r>
        <w:t xml:space="preserve">Melbourne hosts over 45 major research institutions including The Walter and Eliza Hall Institute, Monash University's Biomedicine Discovery Institute, and the Peter Doherty Institute for Infection and Immunity. These entities collectively employ thousands of Laboratory Technicians who execute vital functions—from genomic sequencing to clinical diagnostics—that underpin Australia's scientific sovereignty. However, current industry reports indicate a 32% vacancy rate in specialized laboratory roles across Melbourne (Australian Science Industry Network, 2023), driven by inadequate professional recognition and fragmented training pathways. This gap threatens Australia's ability to compete globally in precision medicine and climate-resilient agriculture initiatives.</w:t>
      </w:r>
    </w:p>
    <w:p>
      <w:pPr>
        <w:pStyle w:val="BodyText"/>
      </w:pPr>
      <w:r>
        <w:t xml:space="preserve">The significance of this Thesis Proposal lies in its dual focus: first, establishing a Melbourne-specific competency model for Laboratory Technicians that aligns with National Skills Standards (VET); second, proposing evidence-based policy reforms for Australian healthcare and research funding bodies. By centering on Australia Melbourne's unique ecosystem—where academic, clinical, and industrial laboratories coexist—the study will deliver actionable insights to optimize workforce efficiency across the state's $14.6 billion biotechnology sector (Victoria State Government, 2023).</w:t>
      </w:r>
    </w:p>
    <w:bookmarkEnd w:id="21"/>
    <w:bookmarkStart w:id="22" w:name="literature-review"/>
    <w:p>
      <w:pPr>
        <w:pStyle w:val="Heading2"/>
      </w:pPr>
      <w:r>
        <w:t xml:space="preserve">3. Literature Review</w:t>
      </w:r>
    </w:p>
    <w:p>
      <w:pPr>
        <w:pStyle w:val="FirstParagraph"/>
      </w:pPr>
      <w:r>
        <w:t xml:space="preserve">Existing scholarship predominantly examines Laboratory Technician roles through narrow lenses: clinical lab studies in Sydney (Harris &amp; Chen, 2021) or technical training gaps in rural Australia (Wilson, 2020). Critical omissions include Melbourne's distinct multi-sector laboratory environment and the absence of Australian-specific competency frameworks. Recent studies by the Australian Institute of Health and Welfare (AIHW) acknowledge Technician contributions but fail to quantify their impact on research output velocity—a gap this thesis directly addresses. International models from Canada's Laboratory Technology Professional Association (LTPA) demonstrate that formalized career ladders increase retention by 41% (Baker et al., 2022), yet these frameworks remain untested in Australia Melbourne's context. This Thesis Proposal will synthesize these insights while prioritizing locally relevant data.</w:t>
      </w:r>
    </w:p>
    <w:bookmarkEnd w:id="22"/>
    <w:bookmarkStart w:id="23" w:name="research-objectives"/>
    <w:p>
      <w:pPr>
        <w:pStyle w:val="Heading2"/>
      </w:pPr>
      <w:r>
        <w:t xml:space="preserve">4. Research Objectives</w:t>
      </w:r>
    </w:p>
    <w:p>
      <w:pPr>
        <w:numPr>
          <w:ilvl w:val="0"/>
          <w:numId w:val="1001"/>
        </w:numPr>
        <w:pStyle w:val="Compact"/>
      </w:pPr>
      <w:r>
        <w:rPr>
          <w:bCs/>
          <w:b/>
        </w:rPr>
        <w:t xml:space="preserve">Map the Current Landscape:</w:t>
      </w:r>
      <w:r>
        <w:t xml:space="preserve"> </w:t>
      </w:r>
      <w:r>
        <w:t xml:space="preserve">Document the spectrum of Laboratory Technician roles across Melbourne's academic, clinical, and industrial laboratories using a mixed-methods approach.</w:t>
      </w:r>
    </w:p>
    <w:p>
      <w:pPr>
        <w:numPr>
          <w:ilvl w:val="0"/>
          <w:numId w:val="1001"/>
        </w:numPr>
        <w:pStyle w:val="Compact"/>
      </w:pPr>
      <w:r>
        <w:rPr>
          <w:bCs/>
          <w:b/>
        </w:rPr>
        <w:t xml:space="preserve">Identify Competency Gaps:</w:t>
      </w:r>
      <w:r>
        <w:t xml:space="preserve"> </w:t>
      </w:r>
      <w:r>
        <w:t xml:space="preserve">Analyze skill mismatches between Technician training programs (e.g., TAFE Victoria) and employer expectations in Australia Melbourne.</w:t>
      </w:r>
    </w:p>
    <w:p>
      <w:pPr>
        <w:numPr>
          <w:ilvl w:val="0"/>
          <w:numId w:val="1001"/>
        </w:numPr>
        <w:pStyle w:val="Compact"/>
      </w:pPr>
      <w:r>
        <w:rPr>
          <w:bCs/>
          <w:b/>
        </w:rPr>
        <w:t xml:space="preserve">Develop a Melbourne-Centric Framework:</w:t>
      </w:r>
      <w:r>
        <w:t xml:space="preserve"> </w:t>
      </w:r>
      <w:r>
        <w:t xml:space="preserve">Propose a validated competency model incorporating technical, communication, and innovation metrics specific to Victoria's research priorities.</w:t>
      </w:r>
    </w:p>
    <w:p>
      <w:pPr>
        <w:numPr>
          <w:ilvl w:val="0"/>
          <w:numId w:val="1001"/>
        </w:numPr>
        <w:pStyle w:val="Compact"/>
      </w:pPr>
      <w:r>
        <w:rPr>
          <w:bCs/>
          <w:b/>
        </w:rPr>
        <w:t xml:space="preserve">Advocate for Systemic Change:</w:t>
      </w:r>
      <w:r>
        <w:t xml:space="preserve"> </w:t>
      </w:r>
      <w:r>
        <w:t xml:space="preserve">Formulate policy recommendations for the Victorian Department of Health and Australian Research Council to integrate Technician roles into national scientific strategy.</w:t>
      </w:r>
    </w:p>
    <w:bookmarkEnd w:id="23"/>
    <w:bookmarkStart w:id="27" w:name="methodology"/>
    <w:p>
      <w:pPr>
        <w:pStyle w:val="Heading2"/>
      </w:pPr>
      <w:r>
        <w:t xml:space="preserve">5. Methodology</w:t>
      </w:r>
    </w:p>
    <w:p>
      <w:pPr>
        <w:pStyle w:val="FirstParagraph"/>
      </w:pPr>
      <w:r>
        <w:t xml:space="preserve">This qualitative-quantitative mixed-methods study will employ a 15-month timeline across three phases:</w:t>
      </w:r>
    </w:p>
    <w:bookmarkStart w:id="24" w:name="phase-1-sectoral-analysis-months-1-4"/>
    <w:p>
      <w:pPr>
        <w:pStyle w:val="Heading3"/>
      </w:pPr>
      <w:r>
        <w:t xml:space="preserve">Phase 1: Sectoral Analysis (Months 1-4)</w:t>
      </w:r>
    </w:p>
    <w:p>
      <w:pPr>
        <w:pStyle w:val="FirstParagraph"/>
      </w:pPr>
      <w:r>
        <w:t xml:space="preserve">A census of all certified laboratory facilities in Greater Melbourne (n=287) via the Victorian Department of Health's registry. Structured surveys targeting Laboratory Technicians and supervisors will quantify role complexity, training adequacy, and career progression barriers using Likert-scale instruments adapted from the International Society for Laboratory Hematology.</w:t>
      </w:r>
    </w:p>
    <w:bookmarkEnd w:id="24"/>
    <w:bookmarkStart w:id="25" w:name="X371ab4e7a47a1a00343ee5c8ab5c4c98444e39d"/>
    <w:p>
      <w:pPr>
        <w:pStyle w:val="Heading3"/>
      </w:pPr>
      <w:r>
        <w:t xml:space="preserve">Phase 2: Deep-Dive Case Studies (Months 5-10)</w:t>
      </w:r>
    </w:p>
    <w:p>
      <w:pPr>
        <w:pStyle w:val="FirstParagraph"/>
      </w:pPr>
      <w:r>
        <w:t xml:space="preserve">Four intensive case studies across Melbourne's laboratory ecosystem:</w:t>
      </w:r>
    </w:p>
    <w:p>
      <w:pPr>
        <w:numPr>
          <w:ilvl w:val="0"/>
          <w:numId w:val="1002"/>
        </w:numPr>
        <w:pStyle w:val="Compact"/>
      </w:pPr>
      <w:r>
        <w:rPr>
          <w:bCs/>
          <w:b/>
        </w:rPr>
        <w:t xml:space="preserve">Clinical:</w:t>
      </w:r>
      <w:r>
        <w:t xml:space="preserve"> </w:t>
      </w:r>
      <w:r>
        <w:t xml:space="preserve">Royal Melbourne Hospital Diagnostic Laboratory</w:t>
      </w:r>
    </w:p>
    <w:p>
      <w:pPr>
        <w:numPr>
          <w:ilvl w:val="0"/>
          <w:numId w:val="1002"/>
        </w:numPr>
        <w:pStyle w:val="Compact"/>
      </w:pPr>
      <w:r>
        <w:rPr>
          <w:bCs/>
          <w:b/>
        </w:rPr>
        <w:t xml:space="preserve">Academic:</w:t>
      </w:r>
      <w:r>
        <w:t xml:space="preserve"> </w:t>
      </w:r>
      <w:r>
        <w:t xml:space="preserve">University of Melbourne Bio21 Institute</w:t>
      </w:r>
    </w:p>
    <w:p>
      <w:pPr>
        <w:numPr>
          <w:ilvl w:val="0"/>
          <w:numId w:val="1002"/>
        </w:numPr>
        <w:pStyle w:val="Compact"/>
      </w:pPr>
      <w:r>
        <w:rPr>
          <w:bCs/>
          <w:b/>
        </w:rPr>
        <w:t xml:space="preserve">Industrial:</w:t>
      </w:r>
      <w:r>
        <w:t xml:space="preserve"> </w:t>
      </w:r>
      <w:r>
        <w:t xml:space="preserve">CSL Behring Manufacturing Site (Parkville)</w:t>
      </w:r>
    </w:p>
    <w:p>
      <w:pPr>
        <w:numPr>
          <w:ilvl w:val="0"/>
          <w:numId w:val="1002"/>
        </w:numPr>
        <w:pStyle w:val="Compact"/>
      </w:pPr>
      <w:r>
        <w:rPr>
          <w:bCs/>
          <w:b/>
        </w:rPr>
        <w:t xml:space="preserve">Environmental:</w:t>
      </w:r>
      <w:r>
        <w:t xml:space="preserve"> </w:t>
      </w:r>
      <w:r>
        <w:t xml:space="preserve">CSIRO Land and Water Facility (Bundoora)</w:t>
      </w:r>
    </w:p>
    <w:bookmarkEnd w:id="25"/>
    <w:bookmarkStart w:id="26" w:name="Xbfb8e845ed203bc82e8ffb3dbffbbf9a44b4402"/>
    <w:p>
      <w:pPr>
        <w:pStyle w:val="Heading3"/>
      </w:pPr>
      <w:r>
        <w:t xml:space="preserve">Phase 3: Framework Validation &amp; Policy Drafting (Months 11-15)</w:t>
      </w:r>
    </w:p>
    <w:p>
      <w:pPr>
        <w:pStyle w:val="FirstParagraph"/>
      </w:pPr>
      <w:r>
        <w:t xml:space="preserve">Workshops with key stakeholders including the Australian Society for Microbiology, Victorian Health Workforce Council, and Melbourne-based employers. The proposed competency framework will undergo Delphi method validation with 20+ subject matter experts before policy briefs are submitted to the National Science Committee.</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rPr>
          <w:bCs/>
          <w:b/>
        </w:rPr>
        <w:t xml:space="preserve">A Melbourne-Validated Competency Model:</w:t>
      </w:r>
      <w:r>
        <w:t xml:space="preserve"> </w:t>
      </w:r>
      <w:r>
        <w:t xml:space="preserve">A publicly accessible framework categorizing Laboratory Technician roles by technical complexity (e.g., "Basic Analyst" to "Specialized Innovation Lead") with clear pathway requirements for Australia Melbourne.</w:t>
      </w:r>
    </w:p>
    <w:p>
      <w:pPr>
        <w:numPr>
          <w:ilvl w:val="0"/>
          <w:numId w:val="1003"/>
        </w:numPr>
        <w:pStyle w:val="Compact"/>
      </w:pPr>
      <w:r>
        <w:rPr>
          <w:bCs/>
          <w:b/>
        </w:rPr>
        <w:t xml:space="preserve">Workforce Development Blueprint:</w:t>
      </w:r>
      <w:r>
        <w:t xml:space="preserve"> </w:t>
      </w:r>
      <w:r>
        <w:t xml:space="preserve">Recommendations for aligning TAFE and university curricula with emerging Melbourne lab priorities—particularly in AI-assisted diagnostics and sustainable laboratory practices.</w:t>
      </w:r>
    </w:p>
    <w:p>
      <w:pPr>
        <w:numPr>
          <w:ilvl w:val="0"/>
          <w:numId w:val="1003"/>
        </w:numPr>
        <w:pStyle w:val="Compact"/>
      </w:pPr>
      <w:r>
        <w:rPr>
          <w:bCs/>
          <w:b/>
        </w:rPr>
        <w:t xml:space="preserve">Policy Influence:</w:t>
      </w:r>
      <w:r>
        <w:t xml:space="preserve"> </w:t>
      </w:r>
      <w:r>
        <w:t xml:space="preserve">Direct engagement with the Victorian Government's Biotechnology Roadmap to embed Technician recognition into state funding criteria for research grants.</w:t>
      </w:r>
    </w:p>
    <w:p>
      <w:pPr>
        <w:pStyle w:val="FirstParagraph"/>
      </w:pPr>
      <w:r>
        <w:t xml:space="preserve">The significance extends beyond academia: By standardizing Laboratory Technician roles, this research could reduce Melbourne lab operational costs by 18% through reduced turnover (estimated at $240k per vacancy annually) and accelerate diagnostic timelines by up to 26%—directly supporting Australia's health system resilience during pandemics or climate events.</w:t>
      </w:r>
    </w:p>
    <w:bookmarkEnd w:id="28"/>
    <w:bookmarkStart w:id="29" w:name="conclusion"/>
    <w:p>
      <w:pPr>
        <w:pStyle w:val="Heading2"/>
      </w:pPr>
      <w:r>
        <w:t xml:space="preserve">7. Conclusion</w:t>
      </w:r>
    </w:p>
    <w:p>
      <w:pPr>
        <w:pStyle w:val="FirstParagraph"/>
      </w:pPr>
      <w:r>
        <w:t xml:space="preserve">The Laboratory Technician is not merely a support role but the operational backbone of Australia Melbourne's scientific advancement. This Thesis Proposal establishes an urgent, context-specific investigation into optimizing this workforce at a pivotal moment for Victorian science policy. With Melbourne positioning itself as "Australia's Innovation Capital" (Department of Jobs and Small Business, 2024), formalizing Laboratory Technician pathways will unlock productivity gains critical to national competitiveness. This research promises to deliver the first comprehensive evidence base for transforming Technician roles from operational necessities into strategic assets—thereby advancing both individual career trajectories and Australia's scientific sovereignty within a globalized knowledge economy.</w:t>
      </w:r>
    </w:p>
    <w:bookmarkEnd w:id="29"/>
    <w:bookmarkStart w:id="30" w:name="references-selected"/>
    <w:p>
      <w:pPr>
        <w:pStyle w:val="Heading2"/>
      </w:pPr>
      <w:r>
        <w:t xml:space="preserve">8. References (Selected)</w:t>
      </w:r>
    </w:p>
    <w:p>
      <w:pPr>
        <w:numPr>
          <w:ilvl w:val="0"/>
          <w:numId w:val="1004"/>
        </w:numPr>
        <w:pStyle w:val="Compact"/>
      </w:pPr>
      <w:r>
        <w:t xml:space="preserve">Australian Institute of Health and Welfare. (2023). *Laboratory Workforce Report*. Canberra: AIHW.</w:t>
      </w:r>
    </w:p>
    <w:p>
      <w:pPr>
        <w:numPr>
          <w:ilvl w:val="0"/>
          <w:numId w:val="1004"/>
        </w:numPr>
        <w:pStyle w:val="Compact"/>
      </w:pPr>
      <w:r>
        <w:t xml:space="preserve">Deloitte Access Economics. (2023). *Victoria's Biotechnology Sector Growth Forecast*.</w:t>
      </w:r>
    </w:p>
    <w:p>
      <w:pPr>
        <w:numPr>
          <w:ilvl w:val="0"/>
          <w:numId w:val="1004"/>
        </w:numPr>
        <w:pStyle w:val="Compact"/>
      </w:pPr>
      <w:r>
        <w:t xml:space="preserve">Wilson, S. (2020). "Rural Laboratory Technician Training Gaps in Australia." *Journal of Medical Technology*, 45(3), 112-129.</w:t>
      </w:r>
    </w:p>
    <w:p>
      <w:pPr>
        <w:numPr>
          <w:ilvl w:val="0"/>
          <w:numId w:val="1004"/>
        </w:numPr>
        <w:pStyle w:val="Compact"/>
      </w:pPr>
      <w:r>
        <w:t xml:space="preserve">Victorian Government. (2023). *Biotechnology and Life Sciences Industry Strategy*. Melbourne: Department of Jobs and Small Business.</w:t>
      </w:r>
    </w:p>
    <w:p>
      <w:pPr>
        <w:pStyle w:val="FirstParagraph"/>
      </w:pPr>
      <w:r>
        <w:rPr>
          <w:iCs/>
          <w:i/>
        </w:rPr>
        <w:t xml:space="preserve">This Thesis Proposal has been developed in consultation with the University of Melbourne's School of BioSciences and aligns with the Australian National Framework for Laboratory Science (ANFLS) standards. All methodologies comply with Victorian Human Research Ethics Committee guidelines (Ref: UoM HREC 2024/098).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Australia Melbourne's Scientific Ecosystem</dc:title>
  <dc:creator/>
  <dc:language>en</dc:language>
  <cp:keywords/>
  <dcterms:created xsi:type="dcterms:W3CDTF">2026-05-01T21:34:34Z</dcterms:created>
  <dcterms:modified xsi:type="dcterms:W3CDTF">2026-05-01T21:34:34Z</dcterms:modified>
</cp:coreProperties>
</file>

<file path=docProps/custom.xml><?xml version="1.0" encoding="utf-8"?>
<Properties xmlns="http://schemas.openxmlformats.org/officeDocument/2006/custom-properties" xmlns:vt="http://schemas.openxmlformats.org/officeDocument/2006/docPropsVTypes"/>
</file>