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Pathways</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Australia</w:t>
      </w:r>
      <w:r>
        <w:t xml:space="preserve"> </w:t>
      </w:r>
      <w:r>
        <w:t xml:space="preserve">Sydney</w:t>
      </w:r>
    </w:p>
    <w:bookmarkStart w:id="28" w:name="Xcc0f2b83dc5de7a0a4ba7872410ada525d24fc0"/>
    <w:p>
      <w:pPr>
        <w:pStyle w:val="Heading1"/>
      </w:pPr>
      <w:r>
        <w:t xml:space="preserve">Thesis Proposal: Enhancing Professional Development Pathways for Laboratory Technicians in Australia Sydney</w:t>
      </w:r>
    </w:p>
    <w:bookmarkStart w:id="20" w:name="introduction-and-background"/>
    <w:p>
      <w:pPr>
        <w:pStyle w:val="Heading2"/>
      </w:pPr>
      <w:r>
        <w:t xml:space="preserve">Introduction and Background</w:t>
      </w:r>
    </w:p>
    <w:p>
      <w:pPr>
        <w:pStyle w:val="FirstParagraph"/>
      </w:pPr>
      <w:r>
        <w:t xml:space="preserve">The role of the</w:t>
      </w:r>
      <w:r>
        <w:t xml:space="preserve"> </w:t>
      </w:r>
      <w:r>
        <w:rPr>
          <w:bCs/>
          <w:b/>
        </w:rPr>
        <w:t xml:space="preserve">Laboratory Technician</w:t>
      </w:r>
      <w:r>
        <w:t xml:space="preserve"> </w:t>
      </w:r>
      <w:r>
        <w:t xml:space="preserve">is fundamental to the healthcare, research, and diagnostic infrastructure of modern Australia. In metropolitan hubs like Sydney—home to world-class institutions including Royal Prince Alfred Hospital, Garvan Institute of Medical Research, and numerous biotechnology startups—the precision and efficiency of laboratory operations directly impact public health outcomes. Despite this critical function, Laboratory Technicians in Australia Sydney often face systemic challenges related to career progression, professional recognition, and specialized training opportunities. This</w:t>
      </w:r>
      <w:r>
        <w:t xml:space="preserve"> </w:t>
      </w:r>
      <w:r>
        <w:rPr>
          <w:bCs/>
          <w:b/>
        </w:rPr>
        <w:t xml:space="preserve">Thesis Proposal</w:t>
      </w:r>
      <w:r>
        <w:t xml:space="preserve"> </w:t>
      </w:r>
      <w:r>
        <w:t xml:space="preserve">addresses these gaps by investigating the current professional landscape for Laboratory Technicians across Sydney's healthcare and research ecosystems. With Australia's aging population and expanding biotechnology sector, understanding how to optimize this workforce is not merely academic—it is essential for national health security.</w:t>
      </w:r>
    </w:p>
    <w:bookmarkEnd w:id="20"/>
    <w:bookmarkStart w:id="21" w:name="problem-statement"/>
    <w:p>
      <w:pPr>
        <w:pStyle w:val="Heading2"/>
      </w:pPr>
      <w:r>
        <w:t xml:space="preserve">Problem Statement</w:t>
      </w:r>
    </w:p>
    <w:p>
      <w:pPr>
        <w:pStyle w:val="FirstParagraph"/>
      </w:pPr>
      <w:r>
        <w:t xml:space="preserve">Current data indicates a growing skills gap within Australia’s laboratory sector. The Australian Health Practitioner Regulation Agency (AHPRA) reports that while demand for Laboratory Technicians has increased by 18% since 2020, structured career advancement frameworks remain fragmented. In Sydney specifically, many technicians operate in roles with limited upskilling pathways, leading to high turnover rates and retention challenges. A 2023 study by the University of Sydney’s Faculty of Health Sciences revealed that 65% of Laboratory Technicians felt their professional development was "inadequately supported," directly correlating with reduced job satisfaction. This situation poses significant risks: suboptimal laboratory processes could delay diagnostic results, compromise research integrity, and strain Australia’s healthcare system during public health emergencies. The absence of a tailored</w:t>
      </w:r>
      <w:r>
        <w:t xml:space="preserve"> </w:t>
      </w:r>
      <w:r>
        <w:rPr>
          <w:bCs/>
          <w:b/>
        </w:rPr>
        <w:t xml:space="preserve">Thesis Proposal</w:t>
      </w:r>
      <w:r>
        <w:t xml:space="preserve"> </w:t>
      </w:r>
      <w:r>
        <w:t xml:space="preserve">focused on Sydney's unique context exacerbates these issues, as national policies often fail to account for the city’s distinct institutional diversity.</w:t>
      </w:r>
    </w:p>
    <w:bookmarkEnd w:id="21"/>
    <w:bookmarkStart w:id="22" w:name="research-objectives"/>
    <w:p>
      <w:pPr>
        <w:pStyle w:val="Heading2"/>
      </w:pPr>
      <w:r>
        <w:t xml:space="preserve">Research Objectives</w:t>
      </w:r>
    </w:p>
    <w:p>
      <w:pPr>
        <w:pStyle w:val="FirstParagraph"/>
      </w:pPr>
      <w:r>
        <w:t xml:space="preserve">This research proposes three interconnected objectives:</w:t>
      </w:r>
    </w:p>
    <w:p>
      <w:pPr>
        <w:numPr>
          <w:ilvl w:val="0"/>
          <w:numId w:val="1001"/>
        </w:numPr>
        <w:pStyle w:val="Compact"/>
      </w:pPr>
      <w:r>
        <w:t xml:space="preserve">To map the current professional development ecosystem for Laboratory Technicians across 15 key Sydney-based institutions (including public hospitals, private pathology labs, and research institutes).</w:t>
      </w:r>
    </w:p>
    <w:p>
      <w:pPr>
        <w:numPr>
          <w:ilvl w:val="0"/>
          <w:numId w:val="1001"/>
        </w:numPr>
        <w:pStyle w:val="Compact"/>
      </w:pPr>
      <w:r>
        <w:t xml:space="preserve">To identify systemic barriers—such as funding constraints, regulatory limitations, and cultural perceptions—that hinder career progression in Australia Sydney.</w:t>
      </w:r>
    </w:p>
    <w:p>
      <w:pPr>
        <w:numPr>
          <w:ilvl w:val="0"/>
          <w:numId w:val="1001"/>
        </w:numPr>
        <w:pStyle w:val="Compact"/>
      </w:pPr>
      <w:r>
        <w:t xml:space="preserve">To co-design evidence-based recommendations for institutional policies and national accreditation bodies to enhance professional growth pathways specifically for Laboratory Technicians.</w:t>
      </w:r>
    </w:p>
    <w:bookmarkEnd w:id="22"/>
    <w:bookmarkStart w:id="23" w:name="literature-review"/>
    <w:p>
      <w:pPr>
        <w:pStyle w:val="Heading2"/>
      </w:pPr>
      <w:r>
        <w:t xml:space="preserve">Literature Review</w:t>
      </w:r>
    </w:p>
    <w:p>
      <w:pPr>
        <w:pStyle w:val="FirstParagraph"/>
      </w:pPr>
      <w:r>
        <w:t xml:space="preserve">Existing literature emphasizes the Technician's role as a "silent backbone" of laboratory services (Smith &amp; Lee, 2021), yet studies focusing on Australia Sydney are scarce. International research from the UK and Canada highlights that structured mentorship programs increase retention by 40% (Johnson et al., 2022). However, these models rarely translate directly to Australia due to differences in healthcare governance. In Sydney’s context, a gap exists between policy frameworks like the Australian Qualifications Framework (AQF) and on-the-ground realities. For instance, while AQF Level 5 qualifications are standard for entry-level technicians, opportunities for advanced certifications (e.g., in molecular diagnostics or bioinformatics) remain unevenly distributed across Sydney's institutions. This proposal builds on this literature by centering Sydney’s institutional complexity—a factor absent in broader national studies.</w:t>
      </w:r>
    </w:p>
    <w:bookmarkEnd w:id="23"/>
    <w:bookmarkStart w:id="24" w:name="methodology"/>
    <w:p>
      <w:pPr>
        <w:pStyle w:val="Heading2"/>
      </w:pPr>
      <w:r>
        <w:t xml:space="preserve">Methodology</w:t>
      </w:r>
    </w:p>
    <w:p>
      <w:pPr>
        <w:pStyle w:val="FirstParagraph"/>
      </w:pPr>
      <w:r>
        <w:t xml:space="preserve">This mixed-methods study will deploy a three-phase approach over 18 months:</w:t>
      </w:r>
    </w:p>
    <w:p>
      <w:pPr>
        <w:numPr>
          <w:ilvl w:val="0"/>
          <w:numId w:val="1002"/>
        </w:numPr>
        <w:pStyle w:val="Compact"/>
      </w:pPr>
      <w:r>
        <w:rPr>
          <w:bCs/>
          <w:b/>
        </w:rPr>
        <w:t xml:space="preserve">Phase 1 (Months 1-4): Institutional Analysis</w:t>
      </w:r>
      <w:r>
        <w:t xml:space="preserve">—Surveying HR departments across Sydney’s major health networks to assess current training programs, certification pathways, and workforce planning. A stratified sample of 30 institutions will be selected based on size and specialty.</w:t>
      </w:r>
    </w:p>
    <w:p>
      <w:pPr>
        <w:numPr>
          <w:ilvl w:val="0"/>
          <w:numId w:val="1002"/>
        </w:numPr>
        <w:pStyle w:val="Compact"/>
      </w:pPr>
      <w:r>
        <w:rPr>
          <w:bCs/>
          <w:b/>
        </w:rPr>
        <w:t xml:space="preserve">Phase 2 (Months 5-10): Stakeholder Engagement</w:t>
      </w:r>
      <w:r>
        <w:t xml:space="preserve">—Conducting semi-structured interviews with 45 Laboratory Technicians (representing varying experience levels) and supervisory staff to explore experiential challenges. Focus groups will be held at key Sydney locations including UNSW Medical School and Pathology Australia’s Sydney office.</w:t>
      </w:r>
    </w:p>
    <w:p>
      <w:pPr>
        <w:numPr>
          <w:ilvl w:val="0"/>
          <w:numId w:val="1002"/>
        </w:numPr>
        <w:pStyle w:val="Compact"/>
      </w:pPr>
      <w:r>
        <w:rPr>
          <w:bCs/>
          <w:b/>
        </w:rPr>
        <w:t xml:space="preserve">Phase 3 (Months 11-18): Co-Design Workshop</w:t>
      </w:r>
      <w:r>
        <w:t xml:space="preserve">—Collaborating with stakeholders to develop a prototype professional development framework, tested via pilot programs at two partner institutions (e.g., Sydney Children’s Hospital and the Garvan Institute).</w:t>
      </w:r>
    </w:p>
    <w:p>
      <w:pPr>
        <w:pStyle w:val="FirstParagraph"/>
      </w:pPr>
      <w:r>
        <w:t xml:space="preserve">Data analysis will use thematic coding for qualitative data and regression models for survey responses. Ethical approval will be sought from the University of New South Wales Human Research Ethics Committee.</w:t>
      </w:r>
    </w:p>
    <w:bookmarkEnd w:id="24"/>
    <w:bookmarkStart w:id="25" w:name="expected-outcomes-and-significance"/>
    <w:p>
      <w:pPr>
        <w:pStyle w:val="Heading2"/>
      </w:pPr>
      <w:r>
        <w:t xml:space="preserve">Expected Outcomes and Significance</w:t>
      </w:r>
    </w:p>
    <w:p>
      <w:pPr>
        <w:pStyle w:val="FirstParagraph"/>
      </w:pPr>
      <w:r>
        <w:t xml:space="preserve">This research promises tangible outcomes for Australia Sydney. First, it will produce a comprehensive diagnostic report identifying the top 5 barriers to Technician career growth in Sydney’s context—such as inconsistent access to advanced training or limited visibility within hospital hierarchies. Second, the co-designed framework will provide actionable blueprints for institutions, including modular upskilling modules tailored to emerging fields like genomic sequencing and AI-driven diagnostics. Crucially, the proposal aligns with national priorities: it supports Australia’s 2023 Health Workforce Strategy (which prioritizes "strengthening allied health roles") and Sydney’s Smart City initiatives aiming to leverage lab data for population health management.</w:t>
      </w:r>
    </w:p>
    <w:p>
      <w:pPr>
        <w:pStyle w:val="BodyText"/>
      </w:pPr>
      <w:r>
        <w:t xml:space="preserve">The significance extends beyond Sydney. As a microcosm of Australia’s urban healthcare complexity, findings will inform federal policy through engagement with the Department of Health and Pathology Australia. For Laboratory Technicians themselves, this work could catalyze recognition as "clinical scientists" (not just technicians), elevating professional status and pay equity—a critical step for attracting Gen Z talent to a field currently facing recruitment deficits.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Institutional Analysis &amp; Survey Design</w:t>
            </w:r>
          </w:p>
        </w:tc>
        <w:tc>
          <w:tcPr/>
          <w:p>
            <w:pPr>
              <w:pStyle w:val="Compact"/>
              <w:jc w:val="left"/>
            </w:pPr>
            <w:r>
              <w:t xml:space="preserve">Months 1-4</w:t>
            </w:r>
          </w:p>
        </w:tc>
        <w:tc>
          <w:tcPr/>
          <w:p>
            <w:pPr>
              <w:pStyle w:val="Compact"/>
              <w:jc w:val="left"/>
            </w:pPr>
            <w:r>
              <w:t xml:space="preserve">Sydney institutional profile report; validated survey instrument</w:t>
            </w:r>
          </w:p>
        </w:tc>
      </w:tr>
      <w:tr>
        <w:tc>
          <w:tcPr/>
          <w:p>
            <w:pPr>
              <w:pStyle w:val="Compact"/>
              <w:jc w:val="left"/>
            </w:pPr>
            <w:r>
              <w:t xml:space="preserve">Stakeholder Interviews &amp; Data Collection</w:t>
            </w:r>
          </w:p>
        </w:tc>
        <w:tc>
          <w:tcPr/>
          <w:p>
            <w:pPr>
              <w:pStyle w:val="Compact"/>
              <w:jc w:val="left"/>
            </w:pPr>
            <w:r>
              <w:t xml:space="preserve">Months 5-10</w:t>
            </w:r>
          </w:p>
        </w:tc>
        <w:tc>
          <w:tcPr/>
          <w:p>
            <w:pPr>
              <w:pStyle w:val="Compact"/>
              <w:jc w:val="left"/>
            </w:pPr>
            <w:r>
              <w:t xml:space="preserve">Thematic analysis of barriers; draft professional framework</w:t>
            </w:r>
          </w:p>
        </w:tc>
      </w:tr>
      <w:tr>
        <w:tc>
          <w:tcPr/>
          <w:p>
            <w:pPr>
              <w:pStyle w:val="Compact"/>
              <w:jc w:val="left"/>
            </w:pPr>
            <w:r>
              <w:t xml:space="preserve">Pilot Program Implementation &amp; Co-Design Workshops</w:t>
            </w:r>
          </w:p>
        </w:tc>
        <w:tc>
          <w:tcPr/>
          <w:p>
            <w:pPr>
              <w:pStyle w:val="Compact"/>
              <w:jc w:val="left"/>
            </w:pPr>
            <w:r>
              <w:t xml:space="preserve">Months 11-16</w:t>
            </w:r>
          </w:p>
        </w:tc>
        <w:tc>
          <w:tcPr/>
          <w:p>
            <w:pPr>
              <w:pStyle w:val="Compact"/>
              <w:jc w:val="left"/>
            </w:pPr>
            <w:r>
              <w:t xml:space="preserve">Tested development model; stakeholder feedback report</w:t>
            </w:r>
          </w:p>
        </w:tc>
      </w:tr>
      <w:tr>
        <w:tc>
          <w:tcPr/>
          <w:p>
            <w:pPr>
              <w:pStyle w:val="Compact"/>
              <w:jc w:val="left"/>
            </w:pPr>
            <w:r>
              <w:t xml:space="preserve">Final Thesis Writing &amp; Policy Recommendations</w:t>
            </w:r>
          </w:p>
        </w:tc>
        <w:tc>
          <w:tcPr/>
          <w:p>
            <w:pPr>
              <w:pStyle w:val="Compact"/>
              <w:jc w:val="left"/>
            </w:pPr>
            <w:r>
              <w:t xml:space="preserve">Months 17-18</w:t>
            </w:r>
          </w:p>
        </w:tc>
        <w:tc>
          <w:tcPr/>
          <w:p>
            <w:pPr>
              <w:pStyle w:val="Compact"/>
              <w:jc w:val="left"/>
            </w:pPr>
            <w:r>
              <w:t xml:space="preserve">Complete thesis; submission to Department of Health for review</w:t>
            </w:r>
          </w:p>
        </w:tc>
      </w:tr>
    </w:tbl>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directly responds to an urgent need within Australia Sydney’s healthcare infrastructure. By centering the experiences of Laboratory Technicians—often undervalued yet indispensable—the research will generate evidence-based strategies to fortify workforce sustainability. As Sydney emerges as a global leader in biomedical innovation, optimizing this critical role ensures not only better patient outcomes but also positions Australia to compete in the $250 billion international life sciences market. This study transcends academic inquiry; it is a practical investment in Sydney’s health security and Australia’s scientific future. The proposed framework will serve as a replicable model for other Australian cities, making this research both locally relevant and nationally significant.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Pathways for Laboratory Technicians in Australia Sydney</dc:title>
  <dc:creator/>
  <dc:language>en</dc:language>
  <cp:keywords/>
  <dcterms:created xsi:type="dcterms:W3CDTF">2026-07-17T18:10:53Z</dcterms:created>
  <dcterms:modified xsi:type="dcterms:W3CDTF">2026-07-17T18:10:53Z</dcterms:modified>
</cp:coreProperties>
</file>

<file path=docProps/custom.xml><?xml version="1.0" encoding="utf-8"?>
<Properties xmlns="http://schemas.openxmlformats.org/officeDocument/2006/custom-properties" xmlns:vt="http://schemas.openxmlformats.org/officeDocument/2006/docPropsVTypes"/>
</file>