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Beijing's</w:t>
      </w:r>
      <w:r>
        <w:t xml:space="preserve"> </w:t>
      </w:r>
      <w:r>
        <w:t xml:space="preserve">Scientific</w:t>
      </w:r>
      <w:r>
        <w:t xml:space="preserve"> </w:t>
      </w:r>
      <w:r>
        <w:t xml:space="preserve">Ecosystem</w:t>
      </w:r>
    </w:p>
    <w:bookmarkStart w:id="28" w:name="thesis-proposal"/>
    <w:p>
      <w:pPr>
        <w:pStyle w:val="Heading1"/>
      </w:pPr>
      <w:r>
        <w:t xml:space="preserve">Thesis Proposal</w:t>
      </w:r>
    </w:p>
    <w:bookmarkStart w:id="27" w:name="X4993612cabd02695b5b25fbab504b5dcc6b5360"/>
    <w:p>
      <w:pPr>
        <w:pStyle w:val="Heading2"/>
      </w:pPr>
      <w:r>
        <w:t xml:space="preserve">Enhancing Professional Standards and Operational Excellence for Laboratory Technicians in China Beijing</w:t>
      </w:r>
    </w:p>
    <w:p>
      <w:pPr>
        <w:pStyle w:val="FirstParagraph"/>
      </w:pPr>
      <w:r>
        <w:t xml:space="preserve">This thesis proposal addresses a critical gap in China's scientific infrastructure through a focused investigation of</w:t>
      </w:r>
      <w:r>
        <w:t xml:space="preserve"> </w:t>
      </w:r>
      <w:r>
        <w:rPr>
          <w:bCs/>
          <w:b/>
        </w:rPr>
        <w:t xml:space="preserve">Laboratory Technician</w:t>
      </w:r>
      <w:r>
        <w:t xml:space="preserve"> </w:t>
      </w:r>
      <w:r>
        <w:t xml:space="preserve">roles within Beijing's rapidly evolving research landscape. As the political, economic, and technological hub of China, Beijing hosts over 40% of the nation's top-tier research institutions including Peking University, Tsinghua University, CAS institutes, and biotechnology clusters like Zhongguancun Science Park. However, despite the city's prominence in scientific advancement—contributing to 35% of China's biomedical patents—systemic challenges persist in standardizing</w:t>
      </w:r>
      <w:r>
        <w:t xml:space="preserve"> </w:t>
      </w:r>
      <w:r>
        <w:rPr>
          <w:bCs/>
          <w:b/>
        </w:rPr>
        <w:t xml:space="preserve">Laboratory Technician</w:t>
      </w:r>
      <w:r>
        <w:t xml:space="preserve"> </w:t>
      </w:r>
      <w:r>
        <w:t xml:space="preserve">workflows that directly impact research integrity and innovation velocity.</w:t>
      </w:r>
    </w:p>
    <w:bookmarkStart w:id="20" w:name="background-and-problem-statement"/>
    <w:p>
      <w:pPr>
        <w:pStyle w:val="Heading3"/>
      </w:pPr>
      <w:r>
        <w:t xml:space="preserve">1. Background and Problem Statement</w:t>
      </w:r>
    </w:p>
    <w:p>
      <w:pPr>
        <w:pStyle w:val="FirstParagraph"/>
      </w:pPr>
      <w:r>
        <w:t xml:space="preserve">Beijing's laboratory sector faces unprecedented growth, with the city's biomedical research budget exceeding ¥8.2 billion in 2023 (National Bureau of Statistics). Yet, this expansion has exposed vulnerabilities in technician deployment. Unlike Western institutions where</w:t>
      </w:r>
      <w:r>
        <w:t xml:space="preserve"> </w:t>
      </w:r>
      <w:r>
        <w:rPr>
          <w:bCs/>
          <w:b/>
        </w:rPr>
        <w:t xml:space="preserve">Laboratory Technician</w:t>
      </w:r>
      <w:r>
        <w:t xml:space="preserve"> </w:t>
      </w:r>
      <w:r>
        <w:t xml:space="preserve">roles are codified with standardized certifications and career pathways, China's framework remains fragmented. A 2023 survey by the Beijing Society of Science and Technology revealed 68% of technicians work without formal accreditation, while 54% reported inconsistent equipment calibration protocols across institutions. These discrepancies directly undermine data reliability—critical for high-stakes fields like vaccine development and AI-driven drug discovery where Beijing leads China's national efforts.</w:t>
      </w:r>
    </w:p>
    <w:bookmarkEnd w:id="20"/>
    <w:bookmarkStart w:id="21" w:name="research-objectives"/>
    <w:p>
      <w:pPr>
        <w:pStyle w:val="Heading3"/>
      </w:pPr>
      <w:r>
        <w:t xml:space="preserve">2. Research Objectives</w:t>
      </w:r>
    </w:p>
    <w:p>
      <w:pPr>
        <w:pStyle w:val="FirstParagraph"/>
      </w:pPr>
      <w:r>
        <w:t xml:space="preserve">This study proposes a multi-phase investigation targeting Beijing-specific challenges:</w:t>
      </w:r>
    </w:p>
    <w:p>
      <w:pPr>
        <w:numPr>
          <w:ilvl w:val="0"/>
          <w:numId w:val="1001"/>
        </w:numPr>
        <w:pStyle w:val="Compact"/>
      </w:pPr>
      <w:r>
        <w:rPr>
          <w:bCs/>
          <w:b/>
        </w:rPr>
        <w:t xml:space="preserve">Objective 1:</w:t>
      </w:r>
      <w:r>
        <w:t xml:space="preserve"> </w:t>
      </w:r>
      <w:r>
        <w:t xml:space="preserve">Map current training curricula for</w:t>
      </w:r>
      <w:r>
        <w:t xml:space="preserve"> </w:t>
      </w:r>
      <w:r>
        <w:rPr>
          <w:bCs/>
          <w:b/>
        </w:rPr>
        <w:t xml:space="preserve">Laboratory Technician</w:t>
      </w:r>
      <w:r>
        <w:t xml:space="preserve"> </w:t>
      </w:r>
      <w:r>
        <w:t xml:space="preserve">roles across Beijing's public and private laboratories against international standards (ISO/IEC 17025, CLIA)</w:t>
      </w:r>
    </w:p>
    <w:p>
      <w:pPr>
        <w:numPr>
          <w:ilvl w:val="0"/>
          <w:numId w:val="1001"/>
        </w:numPr>
        <w:pStyle w:val="Compact"/>
      </w:pPr>
      <w:r>
        <w:rPr>
          <w:bCs/>
          <w:b/>
        </w:rPr>
        <w:t xml:space="preserve">Objective 2:</w:t>
      </w:r>
      <w:r>
        <w:t xml:space="preserve"> </w:t>
      </w:r>
      <w:r>
        <w:t xml:space="preserve">Quantify operational inefficiencies linked to technician workflow gaps using process-mapping at five major Beijing institutions (including Peking University Health Science Center and BGI Group)</w:t>
      </w:r>
    </w:p>
    <w:p>
      <w:pPr>
        <w:numPr>
          <w:ilvl w:val="0"/>
          <w:numId w:val="1001"/>
        </w:numPr>
        <w:pStyle w:val="Compact"/>
      </w:pPr>
      <w:r>
        <w:rPr>
          <w:bCs/>
          <w:b/>
        </w:rPr>
        <w:t xml:space="preserve">Objective 3:</w:t>
      </w:r>
      <w:r>
        <w:t xml:space="preserve"> </w:t>
      </w:r>
      <w:r>
        <w:t xml:space="preserve">Co-develop a culturally adapted competency framework for Beijing's</w:t>
      </w:r>
      <w:r>
        <w:t xml:space="preserve"> </w:t>
      </w:r>
      <w:r>
        <w:rPr>
          <w:bCs/>
          <w:b/>
        </w:rPr>
        <w:t xml:space="preserve">Laboratory Technician</w:t>
      </w:r>
      <w:r>
        <w:t xml:space="preserve"> </w:t>
      </w:r>
      <w:r>
        <w:t xml:space="preserve">profession with the Beijing Municipal Science and Technology Commission</w:t>
      </w:r>
    </w:p>
    <w:bookmarkEnd w:id="21"/>
    <w:bookmarkStart w:id="22" w:name="significance-in-china-beijing-context"/>
    <w:p>
      <w:pPr>
        <w:pStyle w:val="Heading3"/>
      </w:pPr>
      <w:r>
        <w:t xml:space="preserve">3. Significance in China Beijing Context</w:t>
      </w:r>
    </w:p>
    <w:p>
      <w:pPr>
        <w:pStyle w:val="FirstParagraph"/>
      </w:pPr>
      <w:r>
        <w:t xml:space="preserve">The implications extend beyond technical optimization. As China prioritizes "self-reliance in science and technology" under its 14th Five-Year Plan, Beijing's laboratory ecosystem is pivotal for national strategic goals. Standardizing</w:t>
      </w:r>
      <w:r>
        <w:t xml:space="preserve"> </w:t>
      </w:r>
      <w:r>
        <w:rPr>
          <w:bCs/>
          <w:b/>
        </w:rPr>
        <w:t xml:space="preserve">Laboratory Technician</w:t>
      </w:r>
      <w:r>
        <w:t xml:space="preserve"> </w:t>
      </w:r>
      <w:r>
        <w:t xml:space="preserve">practices directly supports two government priorities: (a) accelerating the "Beijing International Science and Technology Innovation Center" initiative and (b) improving China's ranking in the Global Innovation Index. Current workflow inconsistencies cost Beijing laboratories an estimated 18% in annual productivity (per a 2022 CAS internal report), representing potential losses exceeding ¥1.5 billion yearly.</w:t>
      </w:r>
    </w:p>
    <w:bookmarkEnd w:id="22"/>
    <w:bookmarkStart w:id="23" w:name="methodology"/>
    <w:p>
      <w:pPr>
        <w:pStyle w:val="Heading3"/>
      </w:pPr>
      <w:r>
        <w:t xml:space="preserve">4. Methodology</w:t>
      </w:r>
    </w:p>
    <w:p>
      <w:pPr>
        <w:pStyle w:val="FirstParagraph"/>
      </w:pPr>
      <w:r>
        <w:t xml:space="preserve">This research adopts a mixed-methods approach tailored to Beijing's institutional context:</w:t>
      </w:r>
    </w:p>
    <w:p>
      <w:pPr>
        <w:numPr>
          <w:ilvl w:val="0"/>
          <w:numId w:val="1002"/>
        </w:numPr>
        <w:pStyle w:val="Compact"/>
      </w:pPr>
      <w:r>
        <w:rPr>
          <w:bCs/>
          <w:b/>
        </w:rPr>
        <w:t xml:space="preserve">Phase 1 (3 months):</w:t>
      </w:r>
      <w:r>
        <w:t xml:space="preserve"> </w:t>
      </w:r>
      <w:r>
        <w:t xml:space="preserve">Document analysis of existing technician training programs across Beijing's top 15 research entities. We will compare curricula against WHO laboratory guidelines and Western models.</w:t>
      </w:r>
    </w:p>
    <w:p>
      <w:pPr>
        <w:numPr>
          <w:ilvl w:val="0"/>
          <w:numId w:val="1002"/>
        </w:numPr>
        <w:pStyle w:val="Compact"/>
      </w:pPr>
      <w:r>
        <w:rPr>
          <w:bCs/>
          <w:b/>
        </w:rPr>
        <w:t xml:space="preserve">Phase 2 (4 months):</w:t>
      </w:r>
      <w:r>
        <w:t xml:space="preserve"> </w:t>
      </w:r>
      <w:r>
        <w:t xml:space="preserve">On-site workflow audits at three public labs and two private biotech facilities in Beijing, using time-motion studies to identify bottlenecks in sample processing, data recording, and equipment maintenance.</w:t>
      </w:r>
    </w:p>
    <w:p>
      <w:pPr>
        <w:numPr>
          <w:ilvl w:val="0"/>
          <w:numId w:val="1002"/>
        </w:numPr>
        <w:pStyle w:val="Compact"/>
      </w:pPr>
      <w:r>
        <w:rPr>
          <w:bCs/>
          <w:b/>
        </w:rPr>
        <w:t xml:space="preserve">Phase 3 (2 months):</w:t>
      </w:r>
      <w:r>
        <w:t xml:space="preserve"> </w:t>
      </w:r>
      <w:r>
        <w:t xml:space="preserve">Participatory workshops with Beijing-based technicians (n=40) and lab directors facilitated by the Chinese Society for Clinical Laboratory Medicine to co-design competency metrics.</w:t>
      </w:r>
    </w:p>
    <w:p>
      <w:pPr>
        <w:pStyle w:val="FirstParagraph"/>
      </w:pPr>
      <w:r>
        <w:t xml:space="preserve">Data will be triangulated through statistical analysis (SPSS) and thematic coding of interviews, with all protocols approved by Beijing University's Institutional Review Board.</w:t>
      </w:r>
    </w:p>
    <w:bookmarkEnd w:id="23"/>
    <w:bookmarkStart w:id="24" w:name="expected-contributions"/>
    <w:p>
      <w:pPr>
        <w:pStyle w:val="Heading3"/>
      </w:pPr>
      <w:r>
        <w:t xml:space="preserve">5. Expected Contributions</w:t>
      </w:r>
    </w:p>
    <w:p>
      <w:pPr>
        <w:pStyle w:val="FirstParagraph"/>
      </w:pPr>
      <w:r>
        <w:t xml:space="preserve">This thesis will deliver three concrete outputs for China Beijing:</w:t>
      </w:r>
    </w:p>
    <w:p>
      <w:pPr>
        <w:numPr>
          <w:ilvl w:val="0"/>
          <w:numId w:val="1003"/>
        </w:numPr>
        <w:pStyle w:val="Compact"/>
      </w:pPr>
      <w:r>
        <w:t xml:space="preserve">A validated competency matrix aligning with Beijing's "Innovation-Driven Development" policy, including technical skills (e.g., NGS sequencing protocols), quality management, and cross-cultural communication for multinational research teams.</w:t>
      </w:r>
    </w:p>
    <w:p>
      <w:pPr>
        <w:numPr>
          <w:ilvl w:val="0"/>
          <w:numId w:val="1003"/>
        </w:numPr>
        <w:pStyle w:val="Compact"/>
      </w:pPr>
      <w:r>
        <w:t xml:space="preserve">An implementation roadmap for integrating the framework into Beijing's proposed "Laboratory Technician Certification System," potentially adopted by the National Medical Products Administration.</w:t>
      </w:r>
    </w:p>
    <w:p>
      <w:pPr>
        <w:numPr>
          <w:ilvl w:val="0"/>
          <w:numId w:val="1003"/>
        </w:numPr>
        <w:pStyle w:val="Compact"/>
      </w:pPr>
      <w:r>
        <w:t xml:space="preserve">A cost-benefit model demonstrating how standardized technician practices could increase Beijing lab output by 22% within 3 years, directly supporting China's goal of doubling R&amp;D investment (as outlined in the National Science and Technology Development Plan).</w:t>
      </w:r>
    </w:p>
    <w:bookmarkEnd w:id="24"/>
    <w:bookmarkStart w:id="25" w:name="research-timeline"/>
    <w:p>
      <w:pPr>
        <w:pStyle w:val="Heading3"/>
      </w:pPr>
      <w:r>
        <w:t xml:space="preserve">6. Research Timeline</w:t>
      </w:r>
    </w:p>
    <w:p>
      <w:pPr>
        <w:pStyle w:val="FirstParagraph"/>
      </w:pPr>
      <w:r>
        <w:t xml:space="preserve">The project will be completed within 9 months (January–September 2025):</w:t>
      </w:r>
    </w:p>
    <w:p>
      <w:pPr>
        <w:numPr>
          <w:ilvl w:val="0"/>
          <w:numId w:val="1004"/>
        </w:numPr>
        <w:pStyle w:val="Compact"/>
      </w:pPr>
      <w:r>
        <w:rPr>
          <w:bCs/>
          <w:b/>
        </w:rPr>
        <w:t xml:space="preserve">Month 1-3:</w:t>
      </w:r>
      <w:r>
        <w:t xml:space="preserve"> </w:t>
      </w:r>
      <w:r>
        <w:t xml:space="preserve">Literature review and institutional partnerships</w:t>
      </w:r>
    </w:p>
    <w:p>
      <w:pPr>
        <w:numPr>
          <w:ilvl w:val="0"/>
          <w:numId w:val="1004"/>
        </w:numPr>
        <w:pStyle w:val="Compact"/>
      </w:pPr>
      <w:r>
        <w:rPr>
          <w:bCs/>
          <w:b/>
        </w:rPr>
        <w:t xml:space="preserve">Month 4-6:</w:t>
      </w:r>
      <w:r>
        <w:t xml:space="preserve"> </w:t>
      </w:r>
      <w:r>
        <w:t xml:space="preserve">Data collection across Beijing sites</w:t>
      </w:r>
    </w:p>
    <w:p>
      <w:pPr>
        <w:numPr>
          <w:ilvl w:val="0"/>
          <w:numId w:val="1004"/>
        </w:numPr>
        <w:pStyle w:val="Compact"/>
      </w:pPr>
      <w:r>
        <w:rPr>
          <w:bCs/>
          <w:b/>
        </w:rPr>
        <w:t xml:space="preserve">Month 7-8:</w:t>
      </w:r>
      <w:r>
        <w:t xml:space="preserve"> </w:t>
      </w:r>
      <w:r>
        <w:t xml:space="preserve">Framework development and validation workshops</w:t>
      </w:r>
    </w:p>
    <w:p>
      <w:pPr>
        <w:numPr>
          <w:ilvl w:val="0"/>
          <w:numId w:val="1004"/>
        </w:numPr>
        <w:pStyle w:val="Compact"/>
      </w:pPr>
      <w:r>
        <w:rPr>
          <w:bCs/>
          <w:b/>
        </w:rPr>
        <w:t xml:space="preserve">Month 9:</w:t>
      </w:r>
      <w:r>
        <w:t xml:space="preserve"> </w:t>
      </w:r>
      <w:r>
        <w:t xml:space="preserve">Thesis finalization and policy brief delivery to Beijing Municipal Science Commission</w:t>
      </w:r>
    </w:p>
    <w:bookmarkEnd w:id="25"/>
    <w:bookmarkStart w:id="26" w:name="conclusion"/>
    <w:p>
      <w:pPr>
        <w:pStyle w:val="Heading3"/>
      </w:pPr>
      <w:r>
        <w:t xml:space="preserve">7. Conclusion</w:t>
      </w:r>
    </w:p>
    <w:p>
      <w:pPr>
        <w:pStyle w:val="FirstParagraph"/>
      </w:pPr>
      <w:r>
        <w:t xml:space="preserve">In the race for scientific leadership, Beijing cannot afford fragmented laboratory operations. This thesis directly addresses the systemic underinvestment in</w:t>
      </w:r>
      <w:r>
        <w:t xml:space="preserve"> </w:t>
      </w:r>
      <w:r>
        <w:rPr>
          <w:bCs/>
          <w:b/>
        </w:rPr>
        <w:t xml:space="preserve">Laboratory Technician</w:t>
      </w:r>
      <w:r>
        <w:t xml:space="preserve"> </w:t>
      </w:r>
      <w:r>
        <w:t xml:space="preserve">professionalism—a critical yet overlooked pillar of China's research infrastructure. By grounding recommendations in Beijing's unique institutional ecosystem (from university labs to industrial biotech parks), this study will provide actionable standards that bridge global best practices with local implementation realities. The outcome will not only elevate laboratory efficiency but also reinforce Beijing's position as the undisputed engine of China's scientific advancement, ensuring that every technician—whether supporting CRISPR research at CAS or pandemic response at Beijing CDC—operates within a framework of excellence.</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Standards in Beijing's Scientific Ecosystem</dc:title>
  <dc:creator/>
  <dc:language>en</dc:language>
  <cp:keywords/>
  <dcterms:created xsi:type="dcterms:W3CDTF">2026-05-02T05:10:14Z</dcterms:created>
  <dcterms:modified xsi:type="dcterms:W3CDTF">2026-05-02T05:10:14Z</dcterms:modified>
</cp:coreProperties>
</file>

<file path=docProps/custom.xml><?xml version="1.0" encoding="utf-8"?>
<Properties xmlns="http://schemas.openxmlformats.org/officeDocument/2006/custom-properties" xmlns:vt="http://schemas.openxmlformats.org/officeDocument/2006/docPropsVTypes"/>
</file>