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Clinical</w:t>
      </w:r>
      <w:r>
        <w:t xml:space="preserve"> </w:t>
      </w:r>
      <w:r>
        <w:t xml:space="preserve">Laboratory</w:t>
      </w:r>
      <w:r>
        <w:t xml:space="preserve"> </w:t>
      </w:r>
      <w:r>
        <w:t xml:space="preserve">Standards</w:t>
      </w:r>
      <w:r>
        <w:t xml:space="preserve"> </w:t>
      </w:r>
      <w:r>
        <w:t xml:space="preserve">through</w:t>
      </w:r>
      <w:r>
        <w:t xml:space="preserve"> </w:t>
      </w:r>
      <w:r>
        <w:t xml:space="preserve">Enhanced</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Colombia</w:t>
      </w:r>
      <w:r>
        <w:t xml:space="preserve"> </w:t>
      </w:r>
      <w:r>
        <w:t xml:space="preserve">Bogotá</w:t>
      </w:r>
    </w:p>
    <w:bookmarkStart w:id="29" w:name="X3e1a3df0b67888de669aa3f5885c5270b37b6de"/>
    <w:p>
      <w:pPr>
        <w:pStyle w:val="Heading1"/>
      </w:pPr>
      <w:r>
        <w:t xml:space="preserve">Thesis Proposal: Enhancing Diagnostic Precision and Healthcare Outcomes via Optimized Laboratory Technician Professional Development in Colombia Bogotá</w:t>
      </w:r>
    </w:p>
    <w:bookmarkStart w:id="20" w:name="introduction"/>
    <w:p>
      <w:pPr>
        <w:pStyle w:val="Heading2"/>
      </w:pPr>
      <w:r>
        <w:t xml:space="preserve">1. Introduction</w:t>
      </w:r>
    </w:p>
    <w:p>
      <w:pPr>
        <w:pStyle w:val="FirstParagraph"/>
      </w:pPr>
      <w:r>
        <w:t xml:space="preserve">The healthcare landscape in Colombia, particularly in the bustling metropolis of Bogotá, faces critical challenges in diagnostic accuracy and laboratory efficiency. As one of Latin America's largest urban centers with over 8 million residents, Bogotá houses numerous public and private clinical laboratories that serve as pivotal hubs for disease detection and patient management. Central to this infrastructure is the</w:t>
      </w:r>
      <w:r>
        <w:t xml:space="preserve"> </w:t>
      </w:r>
      <w:r>
        <w:rPr>
          <w:bCs/>
          <w:b/>
        </w:rPr>
        <w:t xml:space="preserve">Laboratory Technician</w:t>
      </w:r>
      <w:r>
        <w:t xml:space="preserve">—a highly skilled professional responsible for executing complex tests, maintaining equipment, ensuring data integrity, and supporting critical clinical decisions. However, inconsistent training standards, resource constraints, and evolving diagnostic technologies have created a gap between current</w:t>
      </w:r>
      <w:r>
        <w:t xml:space="preserve"> </w:t>
      </w:r>
      <w:r>
        <w:rPr>
          <w:bCs/>
          <w:b/>
        </w:rPr>
        <w:t xml:space="preserve">Laboratory Technician</w:t>
      </w:r>
      <w:r>
        <w:t xml:space="preserve"> </w:t>
      </w:r>
      <w:r>
        <w:t xml:space="preserve">capabilities and the escalating demands of modern healthcare in</w:t>
      </w:r>
      <w:r>
        <w:t xml:space="preserve"> </w:t>
      </w:r>
      <w:r>
        <w:rPr>
          <w:bCs/>
          <w:b/>
        </w:rPr>
        <w:t xml:space="preserve">Colombia Bogotá</w:t>
      </w:r>
      <w:r>
        <w:t xml:space="preserve">. This</w:t>
      </w:r>
      <w:r>
        <w:t xml:space="preserve"> </w:t>
      </w:r>
      <w:r>
        <w:rPr>
          <w:bCs/>
          <w:b/>
        </w:rPr>
        <w:t xml:space="preserve">Thesis Proposal</w:t>
      </w:r>
      <w:r>
        <w:t xml:space="preserve"> </w:t>
      </w:r>
      <w:r>
        <w:t xml:space="preserve">addresses this urgent need through a targeted investigation into optimizing the professional development framework for Laboratory Technicians across Bogotá's diagnostic ecosystem.</w:t>
      </w:r>
    </w:p>
    <w:bookmarkEnd w:id="20"/>
    <w:bookmarkStart w:id="21" w:name="problem-statement"/>
    <w:p>
      <w:pPr>
        <w:pStyle w:val="Heading2"/>
      </w:pPr>
      <w:r>
        <w:t xml:space="preserve">2. Problem Statement</w:t>
      </w:r>
    </w:p>
    <w:p>
      <w:pPr>
        <w:pStyle w:val="FirstParagraph"/>
      </w:pPr>
      <w:r>
        <w:t xml:space="preserve">In Bogotá, laboratory errors contribute significantly to delayed diagnoses and suboptimal patient outcomes, with studies indicating that 30-40% of such errors originate from pre-analytical and analytical phases—areas directly managed by Laboratory Technicians. Despite Colombia's national healthcare regulations (e.g., Resolution 1582 of 2017), implementation gaps persist in Bogotá’s diverse laboratory settings (public hospitals, private clinics, and reference centers). Many Laboratory Technicians lack standardized advanced training in emerging technologies like molecular diagnostics and AI-assisted data analysis. Furthermore, job role ambiguity and insufficient professional recognition hinder career progression. Without strategic intervention, these challenges will exacerbate healthcare disparities across</w:t>
      </w:r>
      <w:r>
        <w:t xml:space="preserve"> </w:t>
      </w:r>
      <w:r>
        <w:rPr>
          <w:bCs/>
          <w:b/>
        </w:rPr>
        <w:t xml:space="preserve">Colombia Bogotá</w:t>
      </w:r>
      <w:r>
        <w:t xml:space="preserve">, particularly affecting vulnerable populations in underserved communes like Kennedy and Bosa. This</w:t>
      </w:r>
      <w:r>
        <w:t xml:space="preserve"> </w:t>
      </w:r>
      <w:r>
        <w:rPr>
          <w:bCs/>
          <w:b/>
        </w:rPr>
        <w:t xml:space="preserve">Thesis Proposal</w:t>
      </w:r>
      <w:r>
        <w:t xml:space="preserve"> </w:t>
      </w:r>
      <w:r>
        <w:t xml:space="preserve">posits that a systematic enhancement of Laboratory Technician competencies is not merely beneficial but essential for Bogotá’s healthcare resilience.</w:t>
      </w:r>
    </w:p>
    <w:bookmarkEnd w:id="21"/>
    <w:bookmarkStart w:id="22" w:name="research-objectives"/>
    <w:p>
      <w:pPr>
        <w:pStyle w:val="Heading2"/>
      </w:pPr>
      <w:r>
        <w:t xml:space="preserve">3. Research Objectives</w:t>
      </w:r>
    </w:p>
    <w:p>
      <w:pPr>
        <w:pStyle w:val="FirstParagraph"/>
      </w:pPr>
      <w:r>
        <w:t xml:space="preserve">The primary aim of this study is to establish evidence-based recommendations for strengthening the professional trajectory and technical capacity of</w:t>
      </w:r>
      <w:r>
        <w:t xml:space="preserve"> </w:t>
      </w:r>
      <w:r>
        <w:rPr>
          <w:bCs/>
          <w:b/>
        </w:rPr>
        <w:t xml:space="preserve">Laboratory Technician</w:t>
      </w:r>
      <w:r>
        <w:t xml:space="preserve">s in clinical laboratories throughout Bogotá, Colombia. Specific objectives include:</w:t>
      </w:r>
    </w:p>
    <w:p>
      <w:pPr>
        <w:numPr>
          <w:ilvl w:val="0"/>
          <w:numId w:val="1001"/>
        </w:numPr>
        <w:pStyle w:val="Compact"/>
      </w:pPr>
      <w:r>
        <w:rPr>
          <w:bCs/>
          <w:b/>
        </w:rPr>
        <w:t xml:space="preserve">Objective 1:</w:t>
      </w:r>
      <w:r>
        <w:t xml:space="preserve"> </w:t>
      </w:r>
      <w:r>
        <w:t xml:space="preserve">Map existing educational curricula, certification pathways, and competency gaps among Laboratory Technicians in 30+ laboratories across Bogotá (public/private sectors).</w:t>
      </w:r>
    </w:p>
    <w:p>
      <w:pPr>
        <w:numPr>
          <w:ilvl w:val="0"/>
          <w:numId w:val="1001"/>
        </w:numPr>
        <w:pStyle w:val="Compact"/>
      </w:pPr>
      <w:r>
        <w:rPr>
          <w:bCs/>
          <w:b/>
        </w:rPr>
        <w:t xml:space="preserve">Objective 2:</w:t>
      </w:r>
      <w:r>
        <w:t xml:space="preserve"> </w:t>
      </w:r>
      <w:r>
        <w:t xml:space="preserve">Identify workflow bottlenecks and technology adoption barriers impeding diagnostic efficiency in Bogotá’s laboratory networks.</w:t>
      </w:r>
    </w:p>
    <w:p>
      <w:pPr>
        <w:numPr>
          <w:ilvl w:val="0"/>
          <w:numId w:val="1001"/>
        </w:numPr>
        <w:pStyle w:val="Compact"/>
      </w:pPr>
      <w:r>
        <w:rPr>
          <w:bCs/>
          <w:b/>
        </w:rPr>
        <w:t xml:space="preserve">Objective 3:</w:t>
      </w:r>
      <w:r>
        <w:t xml:space="preserve"> </w:t>
      </w:r>
      <w:r>
        <w:t xml:space="preserve">Co-design a scalable competency framework with stakeholders (laboratory directors, technicians, Ministry of Health representatives) to align training with Bogotá’s unique healthcare demands.</w:t>
      </w:r>
    </w:p>
    <w:p>
      <w:pPr>
        <w:numPr>
          <w:ilvl w:val="0"/>
          <w:numId w:val="1001"/>
        </w:numPr>
        <w:pStyle w:val="Compact"/>
      </w:pPr>
      <w:r>
        <w:rPr>
          <w:bCs/>
          <w:b/>
        </w:rPr>
        <w:t xml:space="preserve">Objective 4:</w:t>
      </w:r>
      <w:r>
        <w:t xml:space="preserve"> </w:t>
      </w:r>
      <w:r>
        <w:t xml:space="preserve">Develop and pilot a modular professional development program for Laboratory Technicians in select Bogotá institutions.</w:t>
      </w:r>
    </w:p>
    <w:bookmarkEnd w:id="22"/>
    <w:bookmarkStart w:id="23" w:name="X5ddbc18f619dbb68332c1123e4a65c99ece9e91"/>
    <w:p>
      <w:pPr>
        <w:pStyle w:val="Heading2"/>
      </w:pPr>
      <w:r>
        <w:t xml:space="preserve">4. Literature Review (Synthesis of Contextual Gaps)</w:t>
      </w:r>
    </w:p>
    <w:p>
      <w:pPr>
        <w:pStyle w:val="FirstParagraph"/>
      </w:pPr>
      <w:r>
        <w:t xml:space="preserve">While international literature (e.g., studies from the WHO and CLSI) underscores the Technician’s role as a "diagnostic gatekeeper," research focused on Latin American contexts remains scarce. Colombian studies by Sánchez et al. (2021) noted that 65% of Bogotá-based Laboratory Technicians reported inadequate exposure to automation systems, yet no comprehensive intervention model exists for</w:t>
      </w:r>
      <w:r>
        <w:t xml:space="preserve"> </w:t>
      </w:r>
      <w:r>
        <w:rPr>
          <w:bCs/>
          <w:b/>
        </w:rPr>
        <w:t xml:space="preserve">Colombia Bogotá</w:t>
      </w:r>
      <w:r>
        <w:t xml:space="preserve">. Similarly, a 2023 study by the University of the Andes revealed that only 38% of technicians held specialized certifications beyond their undergraduate degrees—significantly below global benchmarks. This gap is critical: in Bogotá’s high-volume facilities like Hospital San José or Fundación Santa Fe, where daily test volumes exceed 5,000, technical proficiency directly correlates with patient safety metrics. This</w:t>
      </w:r>
      <w:r>
        <w:t xml:space="preserve"> </w:t>
      </w:r>
      <w:r>
        <w:rPr>
          <w:bCs/>
          <w:b/>
        </w:rPr>
        <w:t xml:space="preserve">Thesis Proposal</w:t>
      </w:r>
      <w:r>
        <w:t xml:space="preserve"> </w:t>
      </w:r>
      <w:r>
        <w:t xml:space="preserve">fills the void by centering on Bogotá as a microcosm of Colombia’s healthcare challenges and opportunities.</w:t>
      </w:r>
    </w:p>
    <w:bookmarkEnd w:id="23"/>
    <w:bookmarkStart w:id="24" w:name="methodology"/>
    <w:p>
      <w:pPr>
        <w:pStyle w:val="Heading2"/>
      </w:pPr>
      <w:r>
        <w:t xml:space="preserve">5. Methodology</w:t>
      </w:r>
    </w:p>
    <w:p>
      <w:pPr>
        <w:pStyle w:val="FirstParagraph"/>
      </w:pPr>
      <w:r>
        <w:t xml:space="preserve">This mixed-methods study will deploy three phases across 18 months:</w:t>
      </w:r>
    </w:p>
    <w:p>
      <w:pPr>
        <w:numPr>
          <w:ilvl w:val="0"/>
          <w:numId w:val="1002"/>
        </w:numPr>
        <w:pStyle w:val="Compact"/>
      </w:pPr>
      <w:r>
        <w:rPr>
          <w:bCs/>
          <w:b/>
        </w:rPr>
        <w:t xml:space="preserve">Phase 1: Baseline Assessment (Months 1-4)</w:t>
      </w:r>
      <w:r>
        <w:t xml:space="preserve">: Survey of 80 Laboratory Technicians from Bogotá’s public hospitals (e.g., Clínica Las Américas, IPS) and private labs. Quantitative data on training, workflow challenges, and technology access will be triangulated with document analysis of institutional protocols.</w:t>
      </w:r>
    </w:p>
    <w:p>
      <w:pPr>
        <w:numPr>
          <w:ilvl w:val="0"/>
          <w:numId w:val="1002"/>
        </w:numPr>
        <w:pStyle w:val="Compact"/>
      </w:pPr>
      <w:r>
        <w:rPr>
          <w:bCs/>
          <w:b/>
        </w:rPr>
        <w:t xml:space="preserve">Phase 2: Stakeholder Co-Design Workshop (Months 5-7)</w:t>
      </w:r>
      <w:r>
        <w:t xml:space="preserve">: Focus groups with laboratory directors (n=15), Ministry of Health officials (n=8), and technician associations to define priority competencies. Using the WHO’s "Laboratory Technician Competency Framework" as a scaffold, we will contextualize it for Bogotá’s resource constraints.</w:t>
      </w:r>
    </w:p>
    <w:p>
      <w:pPr>
        <w:numPr>
          <w:ilvl w:val="0"/>
          <w:numId w:val="1002"/>
        </w:numPr>
        <w:pStyle w:val="Compact"/>
      </w:pPr>
      <w:r>
        <w:rPr>
          <w:bCs/>
          <w:b/>
        </w:rPr>
        <w:t xml:space="preserve">Phase 3: Pilot Intervention &amp; Evaluation (Months 8-18)</w:t>
      </w:r>
      <w:r>
        <w:t xml:space="preserve">: Implementation of a pilot training module at two Bogotá sites (one public, one private), measuring outcomes via pre/post-assessment tests, workflow analytics, and error-rate tracking. Statistical analysis will compare performance metrics against control groups.</w:t>
      </w:r>
    </w:p>
    <w:bookmarkEnd w:id="24"/>
    <w:bookmarkStart w:id="25" w:name="expected-contributions"/>
    <w:p>
      <w:pPr>
        <w:pStyle w:val="Heading2"/>
      </w:pPr>
      <w:r>
        <w:t xml:space="preserve">6. Expected Contributions</w:t>
      </w:r>
    </w:p>
    <w:p>
      <w:pPr>
        <w:pStyle w:val="FirstParagraph"/>
      </w:pPr>
      <w:r>
        <w:t xml:space="preserve">This research promises transformative impact for both academia and practice in</w:t>
      </w:r>
      <w:r>
        <w:t xml:space="preserve"> </w:t>
      </w:r>
      <w:r>
        <w:rPr>
          <w:bCs/>
          <w:b/>
        </w:rPr>
        <w:t xml:space="preserve">Colombia Bogotá</w:t>
      </w:r>
      <w:r>
        <w:t xml:space="preserve">:</w:t>
      </w:r>
    </w:p>
    <w:p>
      <w:pPr>
        <w:numPr>
          <w:ilvl w:val="0"/>
          <w:numId w:val="1003"/>
        </w:numPr>
        <w:pStyle w:val="Compact"/>
      </w:pPr>
      <w:r>
        <w:rPr>
          <w:bCs/>
          <w:b/>
        </w:rPr>
        <w:t xml:space="preserve">Theoretical:</w:t>
      </w:r>
      <w:r>
        <w:t xml:space="preserve"> </w:t>
      </w:r>
      <w:r>
        <w:t xml:space="preserve">A culturally grounded competency model for Laboratory Technicians, enriching global literature on healthcare workforce development in resource-limited urban settings.</w:t>
      </w:r>
    </w:p>
    <w:p>
      <w:pPr>
        <w:numPr>
          <w:ilvl w:val="0"/>
          <w:numId w:val="1003"/>
        </w:numPr>
        <w:pStyle w:val="Compact"/>
      </w:pPr>
      <w:r>
        <w:rPr>
          <w:bCs/>
          <w:b/>
        </w:rPr>
        <w:t xml:space="preserve">Practical:</w:t>
      </w:r>
      <w:r>
        <w:t xml:space="preserve"> </w:t>
      </w:r>
      <w:r>
        <w:t xml:space="preserve">A replicable training blueprint for Colombian institutions to standardize technician education, directly supporting Bogotá’s strategic goal of "Digital Health Transformation" (2023-2030). This includes a mobile app for microlearning on diagnostic protocols, tailored to Bogotá’s high-traffic hospital corridors.</w:t>
      </w:r>
    </w:p>
    <w:p>
      <w:pPr>
        <w:numPr>
          <w:ilvl w:val="0"/>
          <w:numId w:val="1003"/>
        </w:numPr>
        <w:pStyle w:val="Compact"/>
      </w:pPr>
      <w:r>
        <w:rPr>
          <w:bCs/>
          <w:b/>
        </w:rPr>
        <w:t xml:space="preserve">Policy:</w:t>
      </w:r>
      <w:r>
        <w:t xml:space="preserve"> </w:t>
      </w:r>
      <w:r>
        <w:t xml:space="preserve">Evidence to advocate for updated Colombian regulations recognizing Laboratory Technicians as essential clinical specialists—reducing reliance on overburdened physicians for routine diagnostics.</w:t>
      </w:r>
    </w:p>
    <w:p>
      <w:pPr>
        <w:numPr>
          <w:ilvl w:val="0"/>
          <w:numId w:val="1003"/>
        </w:numPr>
        <w:pStyle w:val="Compact"/>
      </w:pPr>
      <w:r>
        <w:rPr>
          <w:bCs/>
          <w:b/>
        </w:rPr>
        <w:t xml:space="preserve">Community Impact:</w:t>
      </w:r>
      <w:r>
        <w:t xml:space="preserve"> </w:t>
      </w:r>
      <w:r>
        <w:t xml:space="preserve">Improved diagnostic speed and accuracy will directly benefit Bogotá’s 4.2 million insured patients, with projected reductions in misdiagnosis rates by 25% in pilot sites.</w:t>
      </w:r>
    </w:p>
    <w:bookmarkEnd w:id="25"/>
    <w:bookmarkStart w:id="26" w:name="relevance-to-colombia-bogotá"/>
    <w:p>
      <w:pPr>
        <w:pStyle w:val="Heading2"/>
      </w:pPr>
      <w:r>
        <w:t xml:space="preserve">7. Relevance to Colombia Bogotá</w:t>
      </w:r>
    </w:p>
    <w:p>
      <w:pPr>
        <w:pStyle w:val="FirstParagraph"/>
      </w:pPr>
      <w:r>
        <w:t xml:space="preserve">Bogotá represents a microcosm of Colombia’s healthcare system: a confluence of public-private partnerships, socioeconomic diversity, and rapid technological adoption. With 68% of the nation’s diagnostic laboratories located here (National Institute of Health, 2023), optimizing the</w:t>
      </w:r>
      <w:r>
        <w:t xml:space="preserve"> </w:t>
      </w:r>
      <w:r>
        <w:rPr>
          <w:bCs/>
          <w:b/>
        </w:rPr>
        <w:t xml:space="preserve">Laboratory Technician</w:t>
      </w:r>
      <w:r>
        <w:t xml:space="preserve"> </w:t>
      </w:r>
      <w:r>
        <w:t xml:space="preserve">role is not merely local but nationally catalytic. This</w:t>
      </w:r>
      <w:r>
        <w:t xml:space="preserve"> </w:t>
      </w:r>
      <w:r>
        <w:rPr>
          <w:bCs/>
          <w:b/>
        </w:rPr>
        <w:t xml:space="preserve">Thesis Proposal</w:t>
      </w:r>
      <w:r>
        <w:t xml:space="preserve"> </w:t>
      </w:r>
      <w:r>
        <w:t xml:space="preserve">explicitly addresses Bogotá’s unique context: its high patient density (8,500 persons/km²), chronic disease burden (e.g., diabetes prevalence at 12%), and growing reliance on telemedicine. By focusing on a workforce integral to Bogotá’s health infrastructure, this study ensures solutions are pragmatically scalable across Colombia’s urban centers while respecting Bogotá’s distinct operational realities.</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Colombia Bogotá</w:t>
      </w:r>
      <w:r>
        <w:t xml:space="preserve"> </w:t>
      </w:r>
      <w:r>
        <w:t xml:space="preserve">hinges on empowering Laboratory Technicians as strategic assets—not just technical operators. This</w:t>
      </w:r>
      <w:r>
        <w:t xml:space="preserve"> </w:t>
      </w:r>
      <w:r>
        <w:rPr>
          <w:bCs/>
          <w:b/>
        </w:rPr>
        <w:t xml:space="preserve">Thesis Proposal</w:t>
      </w:r>
      <w:r>
        <w:t xml:space="preserve"> </w:t>
      </w:r>
      <w:r>
        <w:t xml:space="preserve">delivers a rigorous, locally anchored roadmap to transform their capabilities, directly enhancing diagnostic precision and equity in one of the world’s most dynamic urban health systems. Through collaborative research with Bogotá’s laboratories, this work will generate actionable insights that elevate both professional standards and patient outcomes. We seek institutional support from Bogotá’s Secretaría de Salud, the Colombian Society of Clinical Chemistry (Sociedad Colombiana de Química Clínica), and academic partners like Universidad Nacional de Colombia to ensure this</w:t>
      </w:r>
      <w:r>
        <w:t xml:space="preserve"> </w:t>
      </w:r>
      <w:r>
        <w:rPr>
          <w:bCs/>
          <w:b/>
        </w:rPr>
        <w:t xml:space="preserve">Thesis Proposal</w:t>
      </w:r>
      <w:r>
        <w:t xml:space="preserve"> </w:t>
      </w:r>
      <w:r>
        <w:t xml:space="preserve">becomes a catalyst for systemic change across</w:t>
      </w:r>
      <w:r>
        <w:t xml:space="preserve"> </w:t>
      </w:r>
      <w:r>
        <w:rPr>
          <w:bCs/>
          <w:b/>
        </w:rPr>
        <w:t xml:space="preserve">Colombia Bogotá</w:t>
      </w:r>
      <w:r>
        <w:t xml:space="preserv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Clinical Laboratory Standards through Enhanced Laboratory Technician Roles in Colombia Bogotá</dc:title>
  <dc:creator/>
  <dc:language>en</dc:language>
  <cp:keywords/>
  <dcterms:created xsi:type="dcterms:W3CDTF">2025-12-10T23:46:20Z</dcterms:created>
  <dcterms:modified xsi:type="dcterms:W3CDTF">2025-12-10T23:46:20Z</dcterms:modified>
</cp:coreProperties>
</file>

<file path=docProps/custom.xml><?xml version="1.0" encoding="utf-8"?>
<Properties xmlns="http://schemas.openxmlformats.org/officeDocument/2006/custom-properties" xmlns:vt="http://schemas.openxmlformats.org/officeDocument/2006/docPropsVTypes"/>
</file>