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Practices</w:t>
      </w:r>
      <w:r>
        <w:t xml:space="preserve"> </w:t>
      </w:r>
      <w:r>
        <w:t xml:space="preserve">in</w:t>
      </w:r>
      <w:r>
        <w:t xml:space="preserve"> </w:t>
      </w:r>
      <w:r>
        <w:t xml:space="preserve">Berlin's</w:t>
      </w:r>
      <w:r>
        <w:t xml:space="preserve"> </w:t>
      </w:r>
      <w:r>
        <w:t xml:space="preserve">Scientific</w:t>
      </w:r>
      <w:r>
        <w:t xml:space="preserve"> </w:t>
      </w:r>
      <w:r>
        <w:t xml:space="preserve">Ecosystem</w:t>
      </w:r>
    </w:p>
    <w:bookmarkStart w:id="33" w:name="Xe6c7e1b5202543c39f3b0d074c030b2aef41a03"/>
    <w:p>
      <w:pPr>
        <w:pStyle w:val="Heading1"/>
      </w:pPr>
      <w:r>
        <w:t xml:space="preserve">Thesis Proposal: Enhancing Professional Standards and Innovation in Laboratory Technician Roles Within Berlin's Scientific Infrastructure</w:t>
      </w:r>
    </w:p>
    <w:bookmarkStart w:id="20" w:name="introduction"/>
    <w:p>
      <w:pPr>
        <w:pStyle w:val="Heading2"/>
      </w:pPr>
      <w:r>
        <w:t xml:space="preserve">1. Introduction</w:t>
      </w:r>
    </w:p>
    <w:p>
      <w:pPr>
        <w:pStyle w:val="FirstParagraph"/>
      </w:pPr>
      <w:r>
        <w:t xml:space="preserve">The role of the Laboratory Technician stands as a cornerstone of scientific advancement across Germany, particularly within Berlin's dynamic research landscape. As one of Europe's leading hubs for biotechnology, pharmaceuticals, and environmental science, Berlin hosts over 500 research institutions including the Max Planck Society, Charité Hospital, and numerous Fraunhofer Institutes. This thesis proposal addresses a critical gap in the systematic development of Laboratory Technician expertise within Germany's regulatory framework. While Germany maintains rigorous standards for laboratory work under frameworks like DIN EN ISO/IEC 17025 and GMP guidelines, there remains insufficient academic focus on optimizing the technician's professional trajectory in Berlin's unique interdisciplinary environment. This research will establish a comprehensive model for elevating Laboratory Technician competencies to meet the evolving demands of Berlin's innovation-driven scientific community.</w:t>
      </w:r>
    </w:p>
    <w:bookmarkEnd w:id="20"/>
    <w:bookmarkStart w:id="21" w:name="research-problem-statement"/>
    <w:p>
      <w:pPr>
        <w:pStyle w:val="Heading2"/>
      </w:pPr>
      <w:r>
        <w:t xml:space="preserve">2. Research Problem Statement</w:t>
      </w:r>
    </w:p>
    <w:p>
      <w:pPr>
        <w:pStyle w:val="FirstParagraph"/>
      </w:pPr>
      <w:r>
        <w:t xml:space="preserve">Current training pathways for Laboratory Technicians in Germany often prioritize technical skills over contextual adaptation to Berlin's specialized research clusters. A 2023 survey by the German Federal Institute for Occupational Safety and Health (BAUA) revealed that 68% of Berlin-based laboratories report skill mismatches between technician qualifications and emerging needs in omics technologies, AI-integrated lab systems, and sustainable lab practices. This disconnect is exacerbated by the absence of region-specific competency frameworks tailored to Berlin's research ecosystem. Consequently, technicians face professional stagnation while institutions grapple with operational inefficiencies—a critical challenge as Berlin aims to solidify its position as a top 3 European science city by 2030 (Berlin Strategy for Science and Research).</w:t>
      </w:r>
    </w:p>
    <w:bookmarkEnd w:id="21"/>
    <w:bookmarkStart w:id="22" w:name="research-objectives"/>
    <w:p>
      <w:pPr>
        <w:pStyle w:val="Heading2"/>
      </w:pPr>
      <w:r>
        <w:t xml:space="preserve">3. Research Objectives</w:t>
      </w:r>
    </w:p>
    <w:p>
      <w:pPr>
        <w:numPr>
          <w:ilvl w:val="0"/>
          <w:numId w:val="1001"/>
        </w:numPr>
        <w:pStyle w:val="Compact"/>
      </w:pPr>
      <w:r>
        <w:t xml:space="preserve">To develop a Berlin-specific competency matrix for Laboratory Technicians integrating national standards with local industry requirements.</w:t>
      </w:r>
    </w:p>
    <w:p>
      <w:pPr>
        <w:numPr>
          <w:ilvl w:val="0"/>
          <w:numId w:val="1001"/>
        </w:numPr>
        <w:pStyle w:val="Compact"/>
      </w:pPr>
      <w:r>
        <w:t xml:space="preserve">To evaluate the impact of cross-disciplinary collaboration (e.g., biotech labs partnering with data science units) on technician professional development.</w:t>
      </w:r>
    </w:p>
    <w:p>
      <w:pPr>
        <w:numPr>
          <w:ilvl w:val="0"/>
          <w:numId w:val="1001"/>
        </w:numPr>
        <w:pStyle w:val="Compact"/>
      </w:pPr>
      <w:r>
        <w:t xml:space="preserve">To design an adaptive certification framework for continuous skill enhancement in Berlin's laboratory environment.</w:t>
      </w:r>
    </w:p>
    <w:bookmarkEnd w:id="22"/>
    <w:bookmarkStart w:id="23" w:name="significance-to-germany-and-berlin"/>
    <w:p>
      <w:pPr>
        <w:pStyle w:val="Heading2"/>
      </w:pPr>
      <w:r>
        <w:t xml:space="preserve">4. Significance to Germany and Berlin</w:t>
      </w:r>
    </w:p>
    <w:p>
      <w:pPr>
        <w:pStyle w:val="FirstParagraph"/>
      </w:pPr>
      <w:r>
        <w:t xml:space="preserve">This research directly supports Germany's Federal Ministry of Education and Research (BMBF) initiative "Future Skills for Science" by addressing systemic workforce development gaps. For Berlin specifically, the project offers tangible benefits:</w:t>
      </w:r>
    </w:p>
    <w:p>
      <w:pPr>
        <w:numPr>
          <w:ilvl w:val="0"/>
          <w:numId w:val="1002"/>
        </w:numPr>
        <w:pStyle w:val="Compact"/>
      </w:pPr>
      <w:r>
        <w:rPr>
          <w:bCs/>
          <w:b/>
        </w:rPr>
        <w:t xml:space="preserve">Industry Alignment:</w:t>
      </w:r>
      <w:r>
        <w:t xml:space="preserve"> </w:t>
      </w:r>
      <w:r>
        <w:t xml:space="preserve">Direct collaboration with Berlin BioCluster members (e.g., MDC, Leibniz-Forschungsinstitut) ensures recommendations reflect real-world needs in Germany's fastest-growing life sciences sector.</w:t>
      </w:r>
    </w:p>
    <w:p>
      <w:pPr>
        <w:numPr>
          <w:ilvl w:val="0"/>
          <w:numId w:val="1002"/>
        </w:numPr>
        <w:pStyle w:val="Compact"/>
      </w:pPr>
      <w:r>
        <w:rPr>
          <w:bCs/>
          <w:b/>
        </w:rPr>
        <w:t xml:space="preserve">Regulatory Compliance:</w:t>
      </w:r>
      <w:r>
        <w:t xml:space="preserve"> </w:t>
      </w:r>
      <w:r>
        <w:t xml:space="preserve">Proposals will align with German laboratory regulations (GLP, GMP) while incorporating Berlin's municipal sustainability mandates for research facilities.</w:t>
      </w:r>
    </w:p>
    <w:p>
      <w:pPr>
        <w:numPr>
          <w:ilvl w:val="0"/>
          <w:numId w:val="1002"/>
        </w:numPr>
        <w:pStyle w:val="Compact"/>
      </w:pPr>
      <w:r>
        <w:rPr>
          <w:bCs/>
          <w:b/>
        </w:rPr>
        <w:t xml:space="preserve">Economic Impact:</w:t>
      </w:r>
      <w:r>
        <w:t xml:space="preserve"> </w:t>
      </w:r>
      <w:r>
        <w:t xml:space="preserve">By reducing technician skill gaps, Berlin's research institutions could increase operational efficiency by an estimated 22% (based on Fraunhofer Institute productivity metrics), strengthening the city's global competitiveness in EU Horizon Europe projects.</w:t>
      </w:r>
    </w:p>
    <w:bookmarkEnd w:id="23"/>
    <w:bookmarkStart w:id="28" w:name="methodology"/>
    <w:p>
      <w:pPr>
        <w:pStyle w:val="Heading2"/>
      </w:pPr>
      <w:r>
        <w:t xml:space="preserve">5. Methodology</w:t>
      </w:r>
    </w:p>
    <w:p>
      <w:pPr>
        <w:pStyle w:val="FirstParagraph"/>
      </w:pPr>
      <w:r>
        <w:t xml:space="preserve">The study employs a mixed-methods approach over 18 months:</w:t>
      </w:r>
    </w:p>
    <w:bookmarkStart w:id="24" w:name="phase-1-contextual-analysis-months-1-4"/>
    <w:p>
      <w:pPr>
        <w:pStyle w:val="Heading3"/>
      </w:pPr>
      <w:r>
        <w:t xml:space="preserve">Phase 1: Contextual Analysis (Months 1-4)</w:t>
      </w:r>
    </w:p>
    <w:p>
      <w:pPr>
        <w:pStyle w:val="FirstParagraph"/>
      </w:pPr>
      <w:r>
        <w:t xml:space="preserve">Systematic review of German laboratory regulations and Berlin-specific institutional policies. Comparative analysis of technician role descriptions across 20+ Berlin laboratories (including university labs, hospitals, and private R&amp;D centers).</w:t>
      </w:r>
    </w:p>
    <w:bookmarkEnd w:id="24"/>
    <w:bookmarkStart w:id="25" w:name="X4c55b170e64798a51a01863bcd31fa9918290e6"/>
    <w:p>
      <w:pPr>
        <w:pStyle w:val="Heading3"/>
      </w:pPr>
      <w:r>
        <w:t xml:space="preserve">Phase 2: Stakeholder Engagement (Months 5-10)</w:t>
      </w:r>
    </w:p>
    <w:p>
      <w:pPr>
        <w:pStyle w:val="FirstParagraph"/>
      </w:pPr>
      <w:r>
        <w:t xml:space="preserve">Participatory workshops with Berlin Laboratory Technician associations (e.g., DVGL - Deutsche Vereinigung für Laboratoriumsmedizin), industry representatives, and academic supervisors. Quantitative survey of 150+ technicians across Berlin's research sector measuring skill gaps in AI-driven lab automation, GDPR-compliant data handling, and green chemistry protocols.</w:t>
      </w:r>
    </w:p>
    <w:bookmarkEnd w:id="25"/>
    <w:bookmarkStart w:id="26" w:name="X473aa1221c4ccff5ad9c5213c3fcc1817af129a"/>
    <w:p>
      <w:pPr>
        <w:pStyle w:val="Heading3"/>
      </w:pPr>
      <w:r>
        <w:t xml:space="preserve">Phase 3: Framework Development (Months 11-16)</w:t>
      </w:r>
    </w:p>
    <w:p>
      <w:pPr>
        <w:pStyle w:val="FirstParagraph"/>
      </w:pPr>
      <w:r>
        <w:t xml:space="preserve">Co-creation of the "Berlin Laboratory Technician Competency Model" using Delphi technique with experts. Validation through pilot implementation in two Fraunhofer institutes and Charité's molecular diagnostics lab.</w:t>
      </w:r>
    </w:p>
    <w:bookmarkEnd w:id="26"/>
    <w:bookmarkStart w:id="27" w:name="phase-4-impact-assessment-months-17-18"/>
    <w:p>
      <w:pPr>
        <w:pStyle w:val="Heading3"/>
      </w:pPr>
      <w:r>
        <w:t xml:space="preserve">Phase 4: Impact Assessment (Months 17-18)</w:t>
      </w:r>
    </w:p>
    <w:p>
      <w:pPr>
        <w:pStyle w:val="FirstParagraph"/>
      </w:pPr>
      <w:r>
        <w:t xml:space="preserve">Measuring changes in technician efficiency metrics (e.g., error rates, project turnaround time) pre/post-pilot implementation.</w:t>
      </w:r>
    </w:p>
    <w:bookmarkEnd w:id="27"/>
    <w:bookmarkEnd w:id="28"/>
    <w:bookmarkStart w:id="29" w:name="expected-contributions"/>
    <w:p>
      <w:pPr>
        <w:pStyle w:val="Heading2"/>
      </w:pPr>
      <w:r>
        <w:t xml:space="preserve">6. Expected Contributions</w:t>
      </w:r>
    </w:p>
    <w:p>
      <w:pPr>
        <w:numPr>
          <w:ilvl w:val="0"/>
          <w:numId w:val="1003"/>
        </w:numPr>
        <w:pStyle w:val="Compact"/>
      </w:pPr>
      <w:r>
        <w:rPr>
          <w:bCs/>
          <w:b/>
        </w:rPr>
        <w:t xml:space="preserve">Educational Framework:</w:t>
      </w:r>
      <w:r>
        <w:t xml:space="preserve"> </w:t>
      </w:r>
      <w:r>
        <w:t xml:space="preserve">First Berlin-specific competency roadmap for Laboratory Technician training programs at institutions like HTW Berlin and Charité's Medical Academy, bridging theoretical education and practical needs.</w:t>
      </w:r>
    </w:p>
    <w:p>
      <w:pPr>
        <w:numPr>
          <w:ilvl w:val="0"/>
          <w:numId w:val="1003"/>
        </w:numPr>
        <w:pStyle w:val="Compact"/>
      </w:pPr>
      <w:r>
        <w:rPr>
          <w:bCs/>
          <w:b/>
        </w:rPr>
        <w:t xml:space="preserve">Policy Influence:</w:t>
      </w:r>
      <w:r>
        <w:t xml:space="preserve"> </w:t>
      </w:r>
      <w:r>
        <w:t xml:space="preserve">Recommendations for the Federal Ministry of Education to revise vocational training standards (KMK guidelines) with Berlin as a model city.</w:t>
      </w:r>
    </w:p>
    <w:p>
      <w:pPr>
        <w:numPr>
          <w:ilvl w:val="0"/>
          <w:numId w:val="1003"/>
        </w:numPr>
        <w:pStyle w:val="Compact"/>
      </w:pPr>
      <w:r>
        <w:rPr>
          <w:bCs/>
          <w:b/>
        </w:rPr>
        <w:t xml:space="preserve">Innovation Catalyst:</w:t>
      </w:r>
      <w:r>
        <w:t xml:space="preserve"> </w:t>
      </w:r>
      <w:r>
        <w:t xml:space="preserve">A certification module on "Berlin-Style Collaborative Lab Work" integrating interdisciplinary problem-solving—addressing the BMBF's call for "networked research excellence."</w:t>
      </w:r>
    </w:p>
    <w:bookmarkEnd w:id="29"/>
    <w:bookmarkStart w:id="30" w:name="X348a04e8629eb7484298f5583bb8f529fe7f9e7"/>
    <w:p>
      <w:pPr>
        <w:pStyle w:val="Heading2"/>
      </w:pPr>
      <w:r>
        <w:t xml:space="preserve">7. Contextual Relevance to Germany and Berlin</w:t>
      </w:r>
    </w:p>
    <w:p>
      <w:pPr>
        <w:pStyle w:val="FirstParagraph"/>
      </w:pPr>
      <w:r>
        <w:t xml:space="preserve">Germany's 2030 High-Tech Strategy explicitly prioritizes strengthening its "laboratory technician workforce" as a strategic asset. Berlin's position as the European capital of scientific collaboration—with 17% of all German research funding flowing into the city—makes it the ideal testbed for this study. The project leverages Berlin's unique ecosystem where academic labs (e.g., HU Berlin, TU Berlin) coexist with industry leaders like BioNTech and Siemens Healthineers. Crucially, this research responds to a 2022 Bundesrat resolution urging states to "develop localized scientific workforce strategies," positioning Berlin as a national exemplar.</w:t>
      </w:r>
    </w:p>
    <w:bookmarkEnd w:id="30"/>
    <w:bookmarkStart w:id="31" w:name="conclusion"/>
    <w:p>
      <w:pPr>
        <w:pStyle w:val="Heading2"/>
      </w:pPr>
      <w:r>
        <w:t xml:space="preserve">8. Conclusion</w:t>
      </w:r>
    </w:p>
    <w:p>
      <w:pPr>
        <w:pStyle w:val="FirstParagraph"/>
      </w:pPr>
      <w:r>
        <w:t xml:space="preserve">This thesis proposal addresses an urgent professional development need for Laboratory Technicians within Germany's most vibrant research metropolis. By centering the Berlin context—its institutions, regulations, and innovation drivers—the study transcends generic skill training to create a scalable model for Germany's scientific future. The outcomes will directly empower technicians to advance from technical operators to strategic partners in Berlin's research economy. As Berlin accelerates toward its 2035 target of becoming Europe’s leading life sciences cluster, this research ensures the human infrastructure keeps pace with technological transformation. Ultimately, it affirms that in Germany's scientific success story, Laboratory Technicians are not merely support staff but indispensable innovators whose development must be systemically prioritized.</w:t>
      </w:r>
    </w:p>
    <w:bookmarkEnd w:id="31"/>
    <w:bookmarkStart w:id="32" w:name="timeline"/>
    <w:p>
      <w:pPr>
        <w:pStyle w:val="Heading2"/>
      </w:pPr>
      <w:r>
        <w:t xml:space="preserve">9.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c>
          <w:tcPr/>
          <w:p>
            <w:pPr>
              <w:pStyle w:val="Compact"/>
            </w:pPr>
          </w:p>
        </w:tc>
        <w:tc>
          <w:tcPr/>
          <w:p>
            <w:pPr>
              <w:pStyle w:val="Compact"/>
            </w:pPr>
          </w:p>
        </w:tc>
      </w:tr>
      <w:tr>
        <w:tc>
          <w:tcPr/>
          <w:p>
            <w:pPr>
              <w:pStyle w:val="Compact"/>
              <w:jc w:val="left"/>
            </w:pPr>
            <w:r>
              <w:t xml:space="preserve">Literature &amp; Policy Review</w:t>
            </w:r>
          </w:p>
        </w:tc>
        <w:tc>
          <w:tcPr/>
          <w:p>
            <w:pPr>
              <w:pStyle w:val="Compact"/>
              <w:jc w:val="left"/>
            </w:pPr>
            <w:r>
              <w:t xml:space="preserve">1-4</w:t>
            </w:r>
          </w:p>
        </w:tc>
        <w:tc>
          <w:tcPr/>
          <w:p>
            <w:pPr>
              <w:pStyle w:val="Compact"/>
              <w:jc w:val="left"/>
            </w:pPr>
            <w:r>
              <w:t xml:space="preserve">Critical analysis of German lab standards + Berlin institutional policies</w:t>
            </w:r>
          </w:p>
        </w:tc>
        <w:tc>
          <w:tcPr/>
          <w:p>
            <w:pPr>
              <w:pStyle w:val="Compact"/>
            </w:pPr>
          </w:p>
        </w:tc>
        <w:tc>
          <w:tcPr/>
          <w:p>
            <w:pPr>
              <w:pStyle w:val="Compact"/>
            </w:pPr>
          </w:p>
        </w:tc>
      </w:tr>
      <w:tr>
        <w:tc>
          <w:tcPr/>
          <w:p>
            <w:pPr>
              <w:pStyle w:val="Compact"/>
              <w:jc w:val="left"/>
            </w:pPr>
            <w:r>
              <w:t xml:space="preserve">Stakeholder Mapping &amp; Surveys</w:t>
            </w:r>
          </w:p>
        </w:tc>
        <w:tc>
          <w:tcPr/>
          <w:p>
            <w:pPr>
              <w:pStyle w:val="Compact"/>
              <w:jc w:val="left"/>
            </w:pPr>
            <w:r>
              <w:t xml:space="preserve">5-10</w:t>
            </w:r>
          </w:p>
        </w:tc>
        <w:tc>
          <w:tcPr>
            <w:gridSpan w:val="3"/>
          </w:tcPr>
          <w:p>
            <w:pPr>
              <w:pStyle w:val="Compact"/>
              <w:jc w:val="left"/>
            </w:pPr>
            <w:r>
              <w:t xml:space="preserve">Quantitative survey report + competency gap map</w:t>
            </w:r>
          </w:p>
        </w:tc>
      </w:tr>
      <w:tr>
        <w:tc>
          <w:tcPr/>
          <w:p>
            <w:pPr>
              <w:pStyle w:val="Compact"/>
              <w:jc w:val="left"/>
            </w:pPr>
            <w:r>
              <w:t xml:space="preserve">Model Co-Creation Workshops</w:t>
            </w:r>
          </w:p>
        </w:tc>
        <w:tc>
          <w:tcPr/>
          <w:p>
            <w:pPr>
              <w:pStyle w:val="Compact"/>
              <w:jc w:val="left"/>
            </w:pPr>
            <w:r>
              <w:t xml:space="preserve">11-14</w:t>
            </w:r>
          </w:p>
        </w:tc>
        <w:tc>
          <w:tcPr/>
          <w:p>
            <w:pPr>
              <w:pStyle w:val="Compact"/>
              <w:jc w:val="left"/>
            </w:pPr>
            <w:r>
              <w:t xml:space="preserve">Finalized Berlin Competency Framework v.1.0</w:t>
            </w:r>
          </w:p>
        </w:tc>
        <w:tc>
          <w:tcPr/>
          <w:p>
            <w:pPr>
              <w:pStyle w:val="Compact"/>
            </w:pPr>
          </w:p>
        </w:tc>
        <w:tc>
          <w:tcPr/>
          <w:p>
            <w:pPr>
              <w:pStyle w:val="Compact"/>
            </w:pPr>
          </w:p>
        </w:tc>
      </w:tr>
      <w:tr>
        <w:tc>
          <w:tcPr/>
          <w:p>
            <w:pPr>
              <w:pStyle w:val="Compact"/>
              <w:jc w:val="left"/>
            </w:pPr>
            <w:r>
              <w:t xml:space="preserve">Pilot Implementation &amp; Evaluation</w:t>
            </w:r>
          </w:p>
        </w:tc>
        <w:tc>
          <w:tcPr/>
          <w:p>
            <w:pPr>
              <w:pStyle w:val="Compact"/>
              <w:jc w:val="left"/>
            </w:pPr>
            <w:r>
              <w:t xml:space="preserve">15-18</w:t>
            </w:r>
          </w:p>
        </w:tc>
        <w:tc>
          <w:tcPr/>
          <w:p>
            <w:pPr>
              <w:pStyle w:val="Compact"/>
              <w:jc w:val="left"/>
            </w:pPr>
            <w:r>
              <w:t xml:space="preserve">Impact assessment report + certification toolkit</w:t>
            </w:r>
          </w:p>
        </w:tc>
        <w:tc>
          <w:tcPr/>
          <w:p>
            <w:pPr>
              <w:pStyle w:val="Compact"/>
            </w:pPr>
          </w:p>
        </w:tc>
        <w:tc>
          <w:tcPr/>
          <w:p>
            <w:pPr>
              <w:pStyle w:val="Compact"/>
            </w:pPr>
          </w:p>
        </w:tc>
      </w:tr>
    </w:tbl>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Practices in Berlin's Scientific Ecosystem</dc:title>
  <dc:creator/>
  <dc:language>en</dc:language>
  <cp:keywords/>
  <dcterms:created xsi:type="dcterms:W3CDTF">2026-07-14T15:39:30Z</dcterms:created>
  <dcterms:modified xsi:type="dcterms:W3CDTF">2026-07-14T15:39:30Z</dcterms:modified>
</cp:coreProperties>
</file>

<file path=docProps/custom.xml><?xml version="1.0" encoding="utf-8"?>
<Properties xmlns="http://schemas.openxmlformats.org/officeDocument/2006/custom-properties" xmlns:vt="http://schemas.openxmlformats.org/officeDocument/2006/docPropsVTypes"/>
</file>