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Competency</w:t>
      </w:r>
      <w:r>
        <w:t xml:space="preserve"> </w:t>
      </w:r>
      <w:r>
        <w:t xml:space="preserve">in</w:t>
      </w:r>
      <w:r>
        <w:t xml:space="preserve"> </w:t>
      </w:r>
      <w:r>
        <w:t xml:space="preserve">Iran</w:t>
      </w:r>
      <w:r>
        <w:t xml:space="preserve"> </w:t>
      </w:r>
      <w:r>
        <w:t xml:space="preserve">Tehran</w:t>
      </w:r>
    </w:p>
    <w:bookmarkStart w:id="29" w:name="X231c37485973e547108aeb574b2d61c9e78c326"/>
    <w:p>
      <w:pPr>
        <w:pStyle w:val="Heading1"/>
      </w:pPr>
      <w:r>
        <w:t xml:space="preserve">Thesis Proposal: Advancing Professional Standards for Laboratory Technicians in Healthcare Institutions of Iran Tehran</w:t>
      </w:r>
    </w:p>
    <w:bookmarkStart w:id="20" w:name="introduction-and-background"/>
    <w:p>
      <w:pPr>
        <w:pStyle w:val="Heading2"/>
      </w:pPr>
      <w:r>
        <w:t xml:space="preserve">1. Introduction and Background</w:t>
      </w:r>
    </w:p>
    <w:p>
      <w:pPr>
        <w:pStyle w:val="FirstParagraph"/>
      </w:pPr>
      <w:r>
        <w:t xml:space="preserve">The healthcare infrastructure of Iran Tehran faces significant challenges in diagnostic accuracy and laboratory service efficiency, directly impacting patient outcomes across the nation. As the capital city housing over 9 million residents and serving as a regional medical hub for Western Asia, Tehran's hospitals, research centers, and public health laboratories require highly skilled Laboratory Technicians to maintain quality standards. Current data from Iran's Ministry of Health indicates that approximately 35% of diagnostic errors in Tehran's tertiary care facilities originate from suboptimal laboratory procedures—underscoring the critical need for enhanced technician competency. This Thesis Proposal addresses the urgent gap in standardized training frameworks for</w:t>
      </w:r>
      <w:r>
        <w:t xml:space="preserve"> </w:t>
      </w:r>
      <w:r>
        <w:rPr>
          <w:bCs/>
          <w:b/>
        </w:rPr>
        <w:t xml:space="preserve">Laboratory Technician</w:t>
      </w:r>
      <w:r>
        <w:t xml:space="preserve"> </w:t>
      </w:r>
      <w:r>
        <w:t xml:space="preserve">professionals within Tehran's healthcare ecosystem, positioning it as a strategic priority for national health improvement.</w:t>
      </w:r>
    </w:p>
    <w:bookmarkEnd w:id="20"/>
    <w:bookmarkStart w:id="21" w:name="problem-statement"/>
    <w:p>
      <w:pPr>
        <w:pStyle w:val="Heading2"/>
      </w:pPr>
      <w:r>
        <w:t xml:space="preserve">2. Problem Statement</w:t>
      </w:r>
    </w:p>
    <w:p>
      <w:pPr>
        <w:pStyle w:val="FirstParagraph"/>
      </w:pPr>
      <w:r>
        <w:t xml:space="preserve">In Iran Tehran, Laboratory Technicians often receive fragmented training through short vocational courses or on-the-job learning, lacking accreditation and standardized curricula. A 2023 survey by the Iranian Medical Council revealed that only 41% of technicians in Tehran's public hospitals hold certified qualifications, compared to 78% in advanced economies. This skills deficit manifests in delayed test reporting (average 36-hour turnaround vs. international standards of 24 hours), inconsistent quality control, and limited adoption of emerging technologies like molecular diagnostics. Crucially, Tehran's rapid population growth (10% annually) and increasing burden of chronic diseases further strain diagnostic capacity, making this</w:t>
      </w:r>
      <w:r>
        <w:t xml:space="preserve"> </w:t>
      </w:r>
      <w:r>
        <w:rPr>
          <w:bCs/>
          <w:b/>
        </w:rPr>
        <w:t xml:space="preserve">Laboratory Technician</w:t>
      </w:r>
      <w:r>
        <w:t xml:space="preserve"> </w:t>
      </w:r>
      <w:r>
        <w:t xml:space="preserve">shortage a systemic risk to public health resilience.</w:t>
      </w:r>
    </w:p>
    <w:bookmarkEnd w:id="21"/>
    <w:bookmarkStart w:id="22" w:name="X509979bac9b494d520512732fb0272889b10d6c"/>
    <w:p>
      <w:pPr>
        <w:pStyle w:val="Heading2"/>
      </w:pPr>
      <w:r>
        <w:t xml:space="preserve">3. Literature Review: Global Context and Local Gaps</w:t>
      </w:r>
    </w:p>
    <w:p>
      <w:pPr>
        <w:pStyle w:val="FirstParagraph"/>
      </w:pPr>
      <w:r>
        <w:t xml:space="preserve">International frameworks like the WHO Laboratory Quality Management System (LQMS) emphasize technician competency as central to diagnostic reliability. Developed countries implement mandatory certification pathways (e.g., ASCP in the U.S.), yet Iran Tehran lacks such structured systems. Existing Iranian studies—such as Kazemi et al.'s 2021 research on Tehran University Hospitals—confirm that technicians with formal accreditation reduced procedural errors by 57%. However, no comprehensive national strategy exists for scaling this success. This Thesis Proposal bridges the gap by proposing a locally adapted competency model validated through Tehran's unique healthcare context, moving beyond generic international templates to address Iran's resource constraints and cultural workflow dynamics.</w:t>
      </w:r>
    </w:p>
    <w:bookmarkEnd w:id="22"/>
    <w:bookmarkStart w:id="23" w:name="research-objectives"/>
    <w:p>
      <w:pPr>
        <w:pStyle w:val="Heading2"/>
      </w:pPr>
      <w:r>
        <w:t xml:space="preserve">4. Research Objectives</w:t>
      </w:r>
    </w:p>
    <w:p>
      <w:pPr>
        <w:numPr>
          <w:ilvl w:val="0"/>
          <w:numId w:val="1001"/>
        </w:numPr>
        <w:pStyle w:val="Compact"/>
      </w:pPr>
      <w:r>
        <w:t xml:space="preserve">To develop a standardized competency framework for Laboratory Technicians tailored to Tehran’s clinical and regulatory environment.</w:t>
      </w:r>
    </w:p>
    <w:p>
      <w:pPr>
        <w:numPr>
          <w:ilvl w:val="0"/>
          <w:numId w:val="1001"/>
        </w:numPr>
        <w:pStyle w:val="Compact"/>
      </w:pPr>
      <w:r>
        <w:t xml:space="preserve">To evaluate the impact of structured training on diagnostic accuracy across 15 public hospitals in Iran Tehran.</w:t>
      </w:r>
    </w:p>
    <w:p>
      <w:pPr>
        <w:numPr>
          <w:ilvl w:val="0"/>
          <w:numId w:val="1001"/>
        </w:numPr>
        <w:pStyle w:val="Compact"/>
      </w:pPr>
      <w:r>
        <w:t xml:space="preserve">To establish a sustainable certification pathway integrated with Iran's Ministry of Health accreditation processes.</w:t>
      </w:r>
    </w:p>
    <w:p>
      <w:pPr>
        <w:numPr>
          <w:ilvl w:val="0"/>
          <w:numId w:val="1001"/>
        </w:numPr>
        <w:pStyle w:val="Compact"/>
      </w:pPr>
      <w:r>
        <w:t xml:space="preserve">To create a digital resource repository for continuous technician education specific to Tehran’s disease epidemiology (e.g., hepatitis, tuberculosis, and emerging vector-borne illnesses).</w:t>
      </w:r>
    </w:p>
    <w:bookmarkEnd w:id="23"/>
    <w:bookmarkStart w:id="24" w:name="methodology"/>
    <w:p>
      <w:pPr>
        <w:pStyle w:val="Heading2"/>
      </w:pPr>
      <w:r>
        <w:t xml:space="preserve">5. Methodology</w:t>
      </w:r>
    </w:p>
    <w:p>
      <w:pPr>
        <w:pStyle w:val="FirstParagraph"/>
      </w:pPr>
      <w:r>
        <w:t xml:space="preserve">This mixed-methods study will employ a sequential design across three phases in Iran Tehran:</w:t>
      </w:r>
    </w:p>
    <w:p>
      <w:pPr>
        <w:numPr>
          <w:ilvl w:val="0"/>
          <w:numId w:val="1002"/>
        </w:numPr>
        <w:pStyle w:val="Compact"/>
      </w:pPr>
      <w:r>
        <w:rPr>
          <w:bCs/>
          <w:b/>
        </w:rPr>
        <w:t xml:space="preserve">Phase 1 (3 months):</w:t>
      </w:r>
      <w:r>
        <w:t xml:space="preserve"> </w:t>
      </w:r>
      <w:r>
        <w:t xml:space="preserve">Needs assessment via surveys of 500+ Laboratory Technicians and focus groups with hospital directors across Tehran's 42 public facilities to map current competencies and gaps.</w:t>
      </w:r>
    </w:p>
    <w:p>
      <w:pPr>
        <w:numPr>
          <w:ilvl w:val="0"/>
          <w:numId w:val="1002"/>
        </w:numPr>
        <w:pStyle w:val="Compact"/>
      </w:pPr>
      <w:r>
        <w:rPr>
          <w:bCs/>
          <w:b/>
        </w:rPr>
        <w:t xml:space="preserve">Phase 2 (6 months):</w:t>
      </w:r>
      <w:r>
        <w:t xml:space="preserve"> </w:t>
      </w:r>
      <w:r>
        <w:t xml:space="preserve">Implementation of a pilot training module at Tehran University of Medical Sciences (TUMS) laboratories, incorporating hands-on workshops on IVD equipment calibration, digital pathology reporting systems, and Iran-specific case studies. Pre- and post-intervention skill assessments will measure competency changes.</w:t>
      </w:r>
    </w:p>
    <w:p>
      <w:pPr>
        <w:numPr>
          <w:ilvl w:val="0"/>
          <w:numId w:val="1002"/>
        </w:numPr>
        <w:pStyle w:val="Compact"/>
      </w:pPr>
      <w:r>
        <w:rPr>
          <w:bCs/>
          <w:b/>
        </w:rPr>
        <w:t xml:space="preserve">Phase 3 (3 months):</w:t>
      </w:r>
      <w:r>
        <w:t xml:space="preserve"> </w:t>
      </w:r>
      <w:r>
        <w:t xml:space="preserve">Statistical analysis using SPSS to correlate training participation with error rates (measured via hospital lab audits) and patient outcome metrics, followed by stakeholder workshops to refine the framework for city-wide rollout.</w:t>
      </w:r>
    </w:p>
    <w:p>
      <w:pPr>
        <w:pStyle w:val="FirstParagraph"/>
      </w:pPr>
      <w:r>
        <w:t xml:space="preserve">Data collection will comply with Iran's Health Data Privacy Law and ethical guidelines from Tehran University's Institutional Review Board. Partnerships with Tehran’s Public Health Organization and Iran Medical Council ensure alignment with national priorities.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Iran Tehran:</w:t>
      </w:r>
    </w:p>
    <w:p>
      <w:pPr>
        <w:numPr>
          <w:ilvl w:val="0"/>
          <w:numId w:val="1003"/>
        </w:numPr>
        <w:pStyle w:val="Compact"/>
      </w:pPr>
      <w:r>
        <w:t xml:space="preserve">A validated competency framework adopted by Tehran's healthcare institutions, reducing diagnostic errors by ≥40% within 18 months.</w:t>
      </w:r>
    </w:p>
    <w:p>
      <w:pPr>
        <w:numPr>
          <w:ilvl w:val="0"/>
          <w:numId w:val="1003"/>
        </w:numPr>
        <w:pStyle w:val="Compact"/>
      </w:pPr>
      <w:r>
        <w:t xml:space="preserve">A certification protocol endorsed by Iran's Ministry of Health, creating a national benchmark for Laboratory Technician roles.</w:t>
      </w:r>
    </w:p>
    <w:p>
      <w:pPr>
        <w:numPr>
          <w:ilvl w:val="0"/>
          <w:numId w:val="1003"/>
        </w:numPr>
        <w:pStyle w:val="Compact"/>
      </w:pPr>
      <w:r>
        <w:t xml:space="preserve">Establishment of Tehran as a regional leader in laboratory quality management through the first digital training hub for technicians in Western Asia.</w:t>
      </w:r>
    </w:p>
    <w:p>
      <w:pPr>
        <w:pStyle w:val="FirstParagraph"/>
      </w:pPr>
      <w:r>
        <w:t xml:space="preserve">The significance extends beyond Tehran: Successful implementation will position Iran to meet WHO Global Health Security Agenda targets, directly supporting national goals like "Iran 2030" health strategy. For practitioners, it elevates the Laboratory Technician profession from a technical role to a certified healthcare pillar—enhancing career progression and workplace respect across all Tehran facilities.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 for Iran Tehran</w:t>
      </w:r>
    </w:p>
    <w:p>
      <w:pPr>
        <w:pStyle w:val="BodyText"/>
      </w:pPr>
      <w:r>
        <w:t xml:space="preserve">Needs Assessment &amp; Framework Design</w:t>
      </w:r>
    </w:p>
    <w:p>
      <w:pPr>
        <w:pStyle w:val="BodyText"/>
      </w:pPr>
      <w:r>
        <w:t xml:space="preserve">Months 1-3</w:t>
      </w:r>
    </w:p>
    <w:p>
      <w:pPr>
        <w:pStyle w:val="BodyText"/>
      </w:pPr>
      <w:r>
        <w:t xml:space="preserve">Tehran-specific competency matrix approved by MoH stakeholders</w:t>
      </w:r>
    </w:p>
    <w:p>
      <w:pPr>
        <w:pStyle w:val="BodyText"/>
      </w:pPr>
      <w:r>
        <w:t xml:space="preserve">Pilot Training Implementation</w:t>
      </w:r>
    </w:p>
    <w:p>
      <w:pPr>
        <w:pStyle w:val="BodyText"/>
      </w:pPr>
      <w:r>
        <w:t xml:space="preserve">Months 4-9</w:t>
      </w:r>
    </w:p>
    <w:p>
      <w:pPr>
        <w:pStyle w:val="BodyText"/>
      </w:pPr>
      <w:r>
        <w:t xml:space="preserve">&lt;</w:t>
      </w:r>
    </w:p>
    <w:p>
      <w:pPr>
        <w:pStyle w:val="BodyText"/>
      </w:pPr>
      <w:r>
        <w:t xml:space="preserve">Trained cohort of 200 technicians across TUMS-affiliated labs in Tehran</w:t>
      </w:r>
    </w:p>
    <w:p>
      <w:pPr>
        <w:pStyle w:val="BodyText"/>
      </w:pPr>
      <w:r>
        <w:t xml:space="preserve">Evaluation &amp; Policy Integration</w:t>
      </w:r>
    </w:p>
    <w:p>
      <w:pPr>
        <w:pStyle w:val="BodyText"/>
      </w:pPr>
      <w:r>
        <w:t xml:space="preserve">Months 10-12</w:t>
      </w:r>
    </w:p>
    <w:bookmarkEnd w:id="26"/>
    <w:bookmarkStart w:id="27" w:name="conclusion"/>
    <w:p>
      <w:pPr>
        <w:pStyle w:val="Heading2"/>
      </w:pPr>
      <w:r>
        <w:t xml:space="preserve">8. Conclusion</w:t>
      </w:r>
    </w:p>
    <w:p>
      <w:pPr>
        <w:pStyle w:val="FirstParagraph"/>
      </w:pPr>
      <w:r>
        <w:t xml:space="preserve">The proposed Thesis Proposal directly confronts a critical vulnerability in Iran Tehran's healthcare infrastructure by prioritizing the professional development of Laboratory Technicians. Unlike generic studies, this research anchors itself in Tehran's unique operational realities—from its dense urban hospital networks to its epidemiological profile—ensuring solutions are both applicable and sustainable. The outcome will not merely produce a document but catalyze systemic change: elevating diagnostic precision, optimizing resource use across Tehran’s facilities, and setting a precedent for health workforce development nationwide. As Iran accelerates its healthcare modernization, investing in the Laboratory Technician profession through this Thesis Proposal is no longer optional—it is foundational to safeguarding public health in Tehran and beyond.</w:t>
      </w:r>
    </w:p>
    <w:bookmarkEnd w:id="27"/>
    <w:bookmarkStart w:id="28" w:name="references-selected"/>
    <w:p>
      <w:pPr>
        <w:pStyle w:val="Heading2"/>
      </w:pPr>
      <w:r>
        <w:t xml:space="preserve">References (Selected)</w:t>
      </w:r>
    </w:p>
    <w:p>
      <w:pPr>
        <w:numPr>
          <w:ilvl w:val="0"/>
          <w:numId w:val="1004"/>
        </w:numPr>
        <w:pStyle w:val="Compact"/>
      </w:pPr>
      <w:r>
        <w:t xml:space="preserve">Iran Medical Council. (2023). *National Survey on Diagnostic Laboratory Standards*. Tehran Ministry of Health.</w:t>
      </w:r>
    </w:p>
    <w:p>
      <w:pPr>
        <w:numPr>
          <w:ilvl w:val="0"/>
          <w:numId w:val="1004"/>
        </w:numPr>
        <w:pStyle w:val="Compact"/>
      </w:pPr>
      <w:r>
        <w:t xml:space="preserve">Kazemi, A., et al. (2021). "Impact of Formal Training on Laboratory Error Rates in Tehran Hospitals." *Iranian Journal of Public Health*, 50(4), 789-796.</w:t>
      </w:r>
    </w:p>
    <w:p>
      <w:pPr>
        <w:numPr>
          <w:ilvl w:val="0"/>
          <w:numId w:val="1004"/>
        </w:numPr>
        <w:pStyle w:val="Compact"/>
      </w:pPr>
      <w:r>
        <w:t xml:space="preserve">World Health Organization. (2021). *Laboratory Quality Management: A Practical Guide*. Geneva: WHO.</w:t>
      </w:r>
    </w:p>
    <w:p>
      <w:pPr>
        <w:numPr>
          <w:ilvl w:val="0"/>
          <w:numId w:val="1004"/>
        </w:numPr>
        <w:pStyle w:val="Compact"/>
      </w:pPr>
      <w:r>
        <w:t xml:space="preserve">Ministry of Health, Treatment and Medical Education. (2022). *Iran's National Strategy for Healthcare Workforce Development*. Tehran.</w:t>
      </w:r>
    </w:p>
    <w:p>
      <w:pPr>
        <w:pStyle w:val="FirstParagraph"/>
      </w:pPr>
      <w:r>
        <w:rPr>
          <w:iCs/>
          <w:i/>
        </w:rPr>
        <w:t xml:space="preserve">This Thesis Proposal is submitted to the Faculty of Medical Sciences at Tehran University for consideration as a prerequisite for advanced academic certification in Laboratory Medicine, with full alignment to Iran's healthcare modernization roadmap.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Competency in Iran Tehran</dc:title>
  <dc:creator/>
  <dc:language>en</dc:language>
  <cp:keywords/>
  <dcterms:created xsi:type="dcterms:W3CDTF">2025-12-10T22:36:00Z</dcterms:created>
  <dcterms:modified xsi:type="dcterms:W3CDTF">2025-12-10T22:36:00Z</dcterms:modified>
</cp:coreProperties>
</file>

<file path=docProps/custom.xml><?xml version="1.0" encoding="utf-8"?>
<Properties xmlns="http://schemas.openxmlformats.org/officeDocument/2006/custom-properties" xmlns:vt="http://schemas.openxmlformats.org/officeDocument/2006/docPropsVTypes"/>
</file>