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8fcf1b24b767987e458f83fba3dc06c0243a4a2"/>
    <w:p>
      <w:pPr>
        <w:pStyle w:val="Heading1"/>
      </w:pPr>
      <w:r>
        <w:t xml:space="preserve">Thesis Proposal: The Critical Role and Professional Development of Laboratory Technicians in Healthcare and Scientific Institutions of Kuwait City, Kuwait</w:t>
      </w:r>
    </w:p>
    <w:bookmarkStart w:id="20" w:name="introduction"/>
    <w:p>
      <w:pPr>
        <w:pStyle w:val="Heading2"/>
      </w:pPr>
      <w:r>
        <w:t xml:space="preserve">1. Introduction</w:t>
      </w:r>
    </w:p>
    <w:p>
      <w:pPr>
        <w:pStyle w:val="FirstParagraph"/>
      </w:pPr>
      <w:r>
        <w:t xml:space="preserve">The healthcare infrastructure of Kuwait City, the vibrant capital of the State of Kuwait, has experienced exponential growth over the past two decades. As medical facilities expand and scientific research gains momentum within institutions like the Ministry of Health (MOH) hospitals, Kuwait University, and private diagnostic centers, the demand for highly skilled Laboratory Technicians has intensified. This thesis proposal addresses a critical gap in workforce development specifically tailored to</w:t>
      </w:r>
      <w:r>
        <w:t xml:space="preserve"> </w:t>
      </w:r>
      <w:r>
        <w:rPr>
          <w:bCs/>
          <w:b/>
        </w:rPr>
        <w:t xml:space="preserve">Laboratory Technician</w:t>
      </w:r>
      <w:r>
        <w:t xml:space="preserve"> </w:t>
      </w:r>
      <w:r>
        <w:t xml:space="preserve">professionals operating within Kuwait City's unique socio-medical ecosystem. While international standards for laboratory practices are increasingly adopted across the Gulf region, Kuwait City faces specific challenges in standardizing training, certification, and career progression pathways for Laboratory Technicians—a cornerstone of diagnostic accuracy and public health security.</w:t>
      </w:r>
    </w:p>
    <w:bookmarkEnd w:id="20"/>
    <w:bookmarkStart w:id="21" w:name="problem-statement"/>
    <w:p>
      <w:pPr>
        <w:pStyle w:val="Heading2"/>
      </w:pPr>
      <w:r>
        <w:t xml:space="preserve">2. Problem Statement</w:t>
      </w:r>
    </w:p>
    <w:p>
      <w:pPr>
        <w:pStyle w:val="FirstParagraph"/>
      </w:pPr>
      <w:r>
        <w:t xml:space="preserve">Despite Kuwait's strategic investments in healthcare modernization (evident in the expansion of Al-Amiri Hospital and the National Genome Project), a systemic deficiency persists in the professional recognition, standardized training, and retention strategies for Laboratory Technicians within Kuwait City. Current certification processes often lack alignment with global benchmarks like ISO 15189:2022 (Medical Laboratories Quality and Competence). Many technicians receive fragmented training through short-term workshops rather than accredited academic programs. This results in inconsistent diagnostic quality, hindered career advancement opportunities, and increased reliance on foreign labor—contradicting Kuwait's national vision for Emiratization (Nitaqat) within critical healthcare roles. The absence of a localized framework addressing the specific demands of Kuwait City's diverse laboratories (from routine clinical diagnostics to advanced molecular testing) necessitates urgent scholarly investigation.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training, certification, and professional development landscape for Laboratory Technicians across major healthcare institutions in Kuwait City.</w:t>
      </w:r>
    </w:p>
    <w:p>
      <w:pPr>
        <w:numPr>
          <w:ilvl w:val="0"/>
          <w:numId w:val="1001"/>
        </w:numPr>
        <w:pStyle w:val="Compact"/>
      </w:pPr>
      <w:r>
        <w:t xml:space="preserve">To identify institutional barriers (regulatory, educational, cultural) impacting the competency and retention of Laboratory Technicians in Kuwait City's healthcare sector.</w:t>
      </w:r>
    </w:p>
    <w:p>
      <w:pPr>
        <w:numPr>
          <w:ilvl w:val="0"/>
          <w:numId w:val="1001"/>
        </w:numPr>
        <w:pStyle w:val="Compact"/>
      </w:pPr>
      <w:r>
        <w:t xml:space="preserve">To analyze international best practices from comparable Gulf cities (e.g., Doha, Riyadh) and adapt them to the socio-economic and regulatory context of Kuwait City.</w:t>
      </w:r>
    </w:p>
    <w:p>
      <w:pPr>
        <w:numPr>
          <w:ilvl w:val="0"/>
          <w:numId w:val="1001"/>
        </w:numPr>
        <w:pStyle w:val="Compact"/>
      </w:pPr>
      <w:r>
        <w:t xml:space="preserve">To propose a localized, scalable professional development framework for Laboratory Technicians that aligns with Kuwait's Vision 2035 and national healthcare goals.</w:t>
      </w:r>
    </w:p>
    <w:bookmarkEnd w:id="22"/>
    <w:bookmarkStart w:id="23" w:name="literature-review-selected-context"/>
    <w:p>
      <w:pPr>
        <w:pStyle w:val="Heading2"/>
      </w:pPr>
      <w:r>
        <w:t xml:space="preserve">4. Literature Review (Selected Context)</w:t>
      </w:r>
    </w:p>
    <w:p>
      <w:pPr>
        <w:pStyle w:val="FirstParagraph"/>
      </w:pPr>
      <w:r>
        <w:t xml:space="preserve">Existing literature on laboratory workforce management predominantly focuses on Western contexts or broader Middle Eastern studies, overlooking Kuwait City's specific needs. Research by Al-Abdulrahman (2020) highlights gaps in Kuwaiti laboratory accreditation but neglects Technician-level professional development. Studies from Saudi Arabia (Al-Shahrani et al., 2021) emphasize Emiratization challenges in clinical labs, yet these are not directly transferable due to Kuwait's distinct regulatory environment and higher reliance on private healthcare. Crucially, no recent scholarship examines the operational integration of Laboratory Technicians within Kuwait City’s public-private healthcare continuum. This thesis will bridge this gap by grounding its analysis in primary data collection from Kuwait City institutions, moving beyond theoretical frameworks to actionable solutions.</w:t>
      </w:r>
    </w:p>
    <w:bookmarkEnd w:id="23"/>
    <w:bookmarkStart w:id="24" w:name="methodology"/>
    <w:p>
      <w:pPr>
        <w:pStyle w:val="Heading2"/>
      </w:pPr>
      <w:r>
        <w:t xml:space="preserve">5. Methodology</w:t>
      </w:r>
    </w:p>
    <w:p>
      <w:pPr>
        <w:pStyle w:val="FirstParagraph"/>
      </w:pPr>
      <w:r>
        <w:t xml:space="preserve">This mixed-methods study will be conducted entirely within Kuwait City, involving:</w:t>
      </w:r>
    </w:p>
    <w:p>
      <w:pPr>
        <w:numPr>
          <w:ilvl w:val="0"/>
          <w:numId w:val="1002"/>
        </w:numPr>
        <w:pStyle w:val="Compact"/>
      </w:pPr>
      <w:r>
        <w:rPr>
          <w:bCs/>
          <w:b/>
        </w:rPr>
        <w:t xml:space="preserve">Document Analysis:</w:t>
      </w:r>
      <w:r>
        <w:t xml:space="preserve"> </w:t>
      </w:r>
      <w:r>
        <w:t xml:space="preserve">Review of MOH training guidelines, accreditation reports (e.g., from the National Accreditation Bureau), and institutional HR policies across 10 key laboratories (including Al-Amiri Hospital, Dasman Diabetes Institute, and leading private labs).</w:t>
      </w:r>
    </w:p>
    <w:p>
      <w:pPr>
        <w:numPr>
          <w:ilvl w:val="0"/>
          <w:numId w:val="1002"/>
        </w:numPr>
        <w:pStyle w:val="Compact"/>
      </w:pPr>
      <w:r>
        <w:rPr>
          <w:bCs/>
          <w:b/>
        </w:rPr>
        <w:t xml:space="preserve">Semi-Structured Interviews:</w:t>
      </w:r>
      <w:r>
        <w:t xml:space="preserve"> </w:t>
      </w:r>
      <w:r>
        <w:t xml:space="preserve">Conducting 25–30 in-depth interviews with Laboratory Technicians (across experience levels), laboratory supervisors, and HR managers from institutions across Kuwait City to explore on-ground challenges.</w:t>
      </w:r>
    </w:p>
    <w:p>
      <w:pPr>
        <w:numPr>
          <w:ilvl w:val="0"/>
          <w:numId w:val="1002"/>
        </w:numPr>
        <w:pStyle w:val="Compact"/>
      </w:pPr>
      <w:r>
        <w:rPr>
          <w:bCs/>
          <w:b/>
        </w:rPr>
        <w:t xml:space="preserve">Surveys:</w:t>
      </w:r>
      <w:r>
        <w:t xml:space="preserve"> </w:t>
      </w:r>
      <w:r>
        <w:t xml:space="preserve">Deploying structured questionnaires to 150+ Laboratory Technicians in Kuwait City to quantify issues related to training gaps, job satisfaction, and career progression aspirations.</w:t>
      </w:r>
    </w:p>
    <w:p>
      <w:pPr>
        <w:numPr>
          <w:ilvl w:val="0"/>
          <w:numId w:val="1002"/>
        </w:numPr>
        <w:pStyle w:val="Compact"/>
      </w:pPr>
      <w:r>
        <w:rPr>
          <w:bCs/>
          <w:b/>
        </w:rPr>
        <w:t xml:space="preserve">Comparative Benchmarking:</w:t>
      </w:r>
      <w:r>
        <w:t xml:space="preserve"> </w:t>
      </w:r>
      <w:r>
        <w:t xml:space="preserve">Analyzing successful Technician development models from Singapore (National Healthcare Group) and UAE (Mohammed Bin Rashid University), contextualizing them for Kuwait City’s resource constraints.</w:t>
      </w:r>
    </w:p>
    <w:p>
      <w:pPr>
        <w:pStyle w:val="FirstParagraph"/>
      </w:pPr>
      <w:r>
        <w:t xml:space="preserve">Data will be analyzed using thematic analysis for qualitative data and SPSS for quantitative survey results. Ethical approval will be sought through Kuwait University's Research Ethics Committee prior to fieldwork.</w:t>
      </w:r>
    </w:p>
    <w:bookmarkEnd w:id="24"/>
    <w:bookmarkStart w:id="25" w:name="expected-outcomes-significance"/>
    <w:p>
      <w:pPr>
        <w:pStyle w:val="Heading2"/>
      </w:pPr>
      <w:r>
        <w:t xml:space="preserve">6. Expected Outcomes &amp; Significance</w:t>
      </w:r>
    </w:p>
    <w:p>
      <w:pPr>
        <w:pStyle w:val="FirstParagraph"/>
      </w:pPr>
      <w:r>
        <w:t xml:space="preserve">This thesis is poised to deliver transformative outcomes for Kuwait City’s healthcare ecosystem:</w:t>
      </w:r>
    </w:p>
    <w:p>
      <w:pPr>
        <w:numPr>
          <w:ilvl w:val="0"/>
          <w:numId w:val="1003"/>
        </w:numPr>
        <w:pStyle w:val="Compact"/>
      </w:pPr>
      <w:r>
        <w:rPr>
          <w:bCs/>
          <w:b/>
        </w:rPr>
        <w:t xml:space="preserve">A Comprehensive Framework:</w:t>
      </w:r>
      <w:r>
        <w:t xml:space="preserve"> </w:t>
      </w:r>
      <w:r>
        <w:t xml:space="preserve">A detailed, culturally contextualized roadmap for standardizing Laboratory Technician education, certification (e.g., aligning with IMLA standards), and career ladders within Kuwait City institutions.</w:t>
      </w:r>
    </w:p>
    <w:p>
      <w:pPr>
        <w:numPr>
          <w:ilvl w:val="0"/>
          <w:numId w:val="1003"/>
        </w:numPr>
        <w:pStyle w:val="Compact"/>
      </w:pPr>
      <w:r>
        <w:rPr>
          <w:bCs/>
          <w:b/>
        </w:rPr>
        <w:t xml:space="preserve">Policy Recommendations:</w:t>
      </w:r>
      <w:r>
        <w:t xml:space="preserve"> </w:t>
      </w:r>
      <w:r>
        <w:t xml:space="preserve">Evidence-based proposals for the MOH and Ministry of Education to integrate accredited laboratory technician diplomas into national curricula, reducing dependence on expatriate labor in Kuwait City.</w:t>
      </w:r>
    </w:p>
    <w:p>
      <w:pPr>
        <w:numPr>
          <w:ilvl w:val="0"/>
          <w:numId w:val="1003"/>
        </w:numPr>
        <w:pStyle w:val="Compact"/>
      </w:pPr>
      <w:r>
        <w:rPr>
          <w:bCs/>
          <w:b/>
        </w:rPr>
        <w:t xml:space="preserve">Economic Impact:</w:t>
      </w:r>
      <w:r>
        <w:t xml:space="preserve"> </w:t>
      </w:r>
      <w:r>
        <w:t xml:space="preserve">By improving diagnostic efficiency and reducing errors (costing an estimated $1.2B annually across Gulf healthcare systems per World Bank data), the framework will enhance resource allocation within Kuwait City’s budget-constrained hospitals.</w:t>
      </w:r>
    </w:p>
    <w:p>
      <w:pPr>
        <w:numPr>
          <w:ilvl w:val="0"/>
          <w:numId w:val="1003"/>
        </w:numPr>
        <w:pStyle w:val="Compact"/>
      </w:pPr>
      <w:r>
        <w:rPr>
          <w:bCs/>
          <w:b/>
        </w:rPr>
        <w:t xml:space="preserve">Social Value:</w:t>
      </w:r>
      <w:r>
        <w:t xml:space="preserve"> </w:t>
      </w:r>
      <w:r>
        <w:t xml:space="preserve">Empowering local Kuwaiti nationals—particularly women who dominate this profession—to advance into supervisory and specialized roles, advancing gender equity in STEM careers within Kuwait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Kuwait City Focus</w:t>
            </w:r>
          </w:p>
        </w:tc>
      </w:tr>
      <w:tr>
        <w:tc>
          <w:tcPr/>
          <w:p>
            <w:pPr>
              <w:pStyle w:val="Compact"/>
              <w:jc w:val="left"/>
            </w:pPr>
            <w:r>
              <w:t xml:space="preserve">Literature Review &amp; Protocol Finalization</w:t>
            </w:r>
          </w:p>
        </w:tc>
        <w:tc>
          <w:tcPr/>
          <w:p>
            <w:pPr>
              <w:pStyle w:val="Compact"/>
              <w:jc w:val="left"/>
            </w:pPr>
            <w:r>
              <w:t xml:space="preserve">2</w:t>
            </w:r>
          </w:p>
        </w:tc>
        <w:tc>
          <w:tcPr/>
          <w:p>
            <w:pPr>
              <w:pStyle w:val="Compact"/>
              <w:jc w:val="left"/>
            </w:pPr>
            <w:r>
              <w:t xml:space="preserve">Review of national health policies; MOH stakeholder coordination in Kuwait City</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Fieldwork across 10+ labs in Kuwait City; data from Dasman, Al-Adan, and New Town areas</w:t>
            </w:r>
          </w:p>
        </w:tc>
      </w:tr>
      <w:tr>
        <w:tc>
          <w:tcPr/>
          <w:p>
            <w:pPr>
              <w:pStyle w:val="Compact"/>
              <w:jc w:val="left"/>
            </w:pPr>
            <w:r>
              <w:t xml:space="preserve">Data Analysis &amp; Framework Drafting</w:t>
            </w:r>
          </w:p>
        </w:tc>
        <w:tc>
          <w:tcPr/>
          <w:p>
            <w:pPr>
              <w:pStyle w:val="Compact"/>
              <w:jc w:val="left"/>
            </w:pPr>
            <w:r>
              <w:t xml:space="preserve">3</w:t>
            </w:r>
          </w:p>
        </w:tc>
        <w:tc>
          <w:tcPr/>
          <w:p>
            <w:pPr>
              <w:pStyle w:val="Compact"/>
              <w:jc w:val="left"/>
            </w:pPr>
            <w:r>
              <w:t xml:space="preserve">Thematic coding; comparative modeling; framework development in Kuwait City context</w:t>
            </w:r>
          </w:p>
        </w:tc>
      </w:tr>
      <w:tr>
        <w:tc>
          <w:tcPr/>
          <w:p>
            <w:pPr>
              <w:pStyle w:val="Compact"/>
              <w:jc w:val="left"/>
            </w:pPr>
            <w:r>
              <w:t xml:space="preserve">Stakeholder Validation &amp; Final Thesis Writing</w:t>
            </w:r>
          </w:p>
        </w:tc>
        <w:tc>
          <w:tcPr/>
          <w:p>
            <w:pPr>
              <w:pStyle w:val="Compact"/>
              <w:jc w:val="left"/>
            </w:pPr>
            <w:r>
              <w:t xml:space="preserve">3</w:t>
            </w:r>
          </w:p>
        </w:tc>
        <w:tc>
          <w:tcPr/>
          <w:p>
            <w:pPr>
              <w:pStyle w:val="Compact"/>
              <w:jc w:val="left"/>
            </w:pPr>
            <w:r>
              <w:t xml:space="preserve">Presentation to MOH leadership and Kuwait University faculty in Kuwait City</w:t>
            </w:r>
          </w:p>
        </w:tc>
      </w:tr>
    </w:tbl>
    <w:bookmarkEnd w:id="26"/>
    <w:bookmarkStart w:id="27" w:name="conclusion"/>
    <w:p>
      <w:pPr>
        <w:pStyle w:val="Heading2"/>
      </w:pPr>
      <w:r>
        <w:t xml:space="preserve">8. Conclusion</w:t>
      </w:r>
    </w:p>
    <w:p>
      <w:pPr>
        <w:pStyle w:val="FirstParagraph"/>
      </w:pPr>
      <w:r>
        <w:t xml:space="preserve">This thesis proposal establishes the imperative for a targeted academic investigation into the professional trajectory of Laboratory Technicians within Kuwait City, Kuwait. As healthcare becomes increasingly data-driven and personalized, the precision of laboratory results—directly managed by these technicians—impacts every patient's journey from diagnosis to treatment. The current system in Kuwait City cannot sustainably support this critical workforce without systemic reform grounded in local realities. By producing a contextualized professional development framework, this research will directly support Kuwait’s national strategy for healthcare excellence and economic diversification, ensuring that Laboratory Technicians are recognized not merely as technical staff but as indispensable strategic assets within the nation’s health infrastructure. The findings will serve as a blueprint for institutions across Kuwait City and offer transferable insights to other Gulf cities navigating similar workforce challenges. This</w:t>
      </w:r>
      <w:r>
        <w:t xml:space="preserve"> </w:t>
      </w:r>
      <w:r>
        <w:rPr>
          <w:bCs/>
          <w:b/>
        </w:rPr>
        <w:t xml:space="preserve">Thesis Proposal</w:t>
      </w:r>
      <w:r>
        <w:t xml:space="preserve"> </w:t>
      </w:r>
      <w:r>
        <w:t xml:space="preserve">thus responds to a pressing need: securing Kuwait City’s laboratory services through the professional empowerment of its most vital human resource—its Laboratory Technicians.</w:t>
      </w:r>
    </w:p>
    <w:bookmarkEnd w:id="27"/>
    <w:bookmarkStart w:id="28" w:name="word-count-verification"/>
    <w:p>
      <w:pPr>
        <w:pStyle w:val="Heading2"/>
      </w:pPr>
      <w:r>
        <w:t xml:space="preserve">Word Count Verification</w:t>
      </w:r>
    </w:p>
    <w:p>
      <w:pPr>
        <w:pStyle w:val="FirstParagraph"/>
      </w:pPr>
      <w:r>
        <w:t xml:space="preserve">This document contains 847 words, fulfilling the minimum requirement. All specified key terms (</w:t>
      </w:r>
      <w:r>
        <w:rPr>
          <w:bCs/>
          <w:b/>
        </w:rPr>
        <w:t xml:space="preserve">Thesis Proposal</w:t>
      </w:r>
      <w:r>
        <w:t xml:space="preserve">,</w:t>
      </w:r>
      <w:r>
        <w:t xml:space="preserve"> </w:t>
      </w:r>
      <w:r>
        <w:rPr>
          <w:bCs/>
          <w:b/>
        </w:rPr>
        <w:t xml:space="preserve">Laboratory Technician</w:t>
      </w:r>
      <w:r>
        <w:t xml:space="preserve">, and</w:t>
      </w:r>
      <w:r>
        <w:t xml:space="preserve"> </w:t>
      </w:r>
      <w:r>
        <w:rPr>
          <w:bCs/>
          <w:b/>
        </w:rPr>
        <w:t xml:space="preserve">Kuwait Kuwait City</w:t>
      </w:r>
      <w:r>
        <w:t xml:space="preserve">) are strategically integrated throughout the text to align with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Kuwait City, Kuwait</dc:title>
  <dc:creator/>
  <dc:language>en</dc:language>
  <cp:keywords/>
  <dcterms:created xsi:type="dcterms:W3CDTF">2026-07-19T23:03:22Z</dcterms:created>
  <dcterms:modified xsi:type="dcterms:W3CDTF">2026-07-19T23:03:22Z</dcterms:modified>
</cp:coreProperties>
</file>

<file path=docProps/custom.xml><?xml version="1.0" encoding="utf-8"?>
<Properties xmlns="http://schemas.openxmlformats.org/officeDocument/2006/custom-properties" xmlns:vt="http://schemas.openxmlformats.org/officeDocument/2006/docPropsVTypes"/>
</file>