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21eda367098264179e80a0a77ab03cdaa8806f"/>
    <w:p>
      <w:pPr>
        <w:pStyle w:val="Heading1"/>
      </w:pPr>
      <w:r>
        <w:t xml:space="preserve">Thesis Proposal: Advancing Laboratory Technician Proficiency in Malaysia Kuala Lumpur for Enhanced Scientific Excellence</w:t>
      </w:r>
    </w:p>
    <w:bookmarkStart w:id="20" w:name="i.-introduction-and-background"/>
    <w:p>
      <w:pPr>
        <w:pStyle w:val="Heading2"/>
      </w:pPr>
      <w:r>
        <w:t xml:space="preserve">I. Introduction and Background</w:t>
      </w:r>
    </w:p>
    <w:p>
      <w:pPr>
        <w:pStyle w:val="FirstParagraph"/>
      </w:pPr>
      <w:r>
        <w:t xml:space="preserve">The role of the</w:t>
      </w:r>
      <w:r>
        <w:t xml:space="preserve"> </w:t>
      </w:r>
      <w:r>
        <w:rPr>
          <w:bCs/>
          <w:b/>
        </w:rPr>
        <w:t xml:space="preserve">Laboratory Technician</w:t>
      </w:r>
      <w:r>
        <w:t xml:space="preserve"> </w:t>
      </w:r>
      <w:r>
        <w:t xml:space="preserve">serves as the backbone of scientific research, healthcare diagnostics, and industrial quality control across Malaysia. In</w:t>
      </w:r>
      <w:r>
        <w:t xml:space="preserve"> </w:t>
      </w:r>
      <w:r>
        <w:rPr>
          <w:bCs/>
          <w:b/>
        </w:rPr>
        <w:t xml:space="preserve">Malaysia Kuala Lumpur</w:t>
      </w:r>
      <w:r>
        <w:t xml:space="preserve">, where biotechnology hubs, pharmaceutical manufacturing facilities, and academic institutions are rapidly expanding, the demand for highly skilled laboratory technicians has surged exponentially. Despite this growth, a critical gap persists between industry requirements and the current competency levels of technicians in our local ecosystem. This</w:t>
      </w:r>
      <w:r>
        <w:t xml:space="preserve"> </w:t>
      </w:r>
      <w:r>
        <w:rPr>
          <w:bCs/>
          <w:b/>
        </w:rPr>
        <w:t xml:space="preserve">Thesis Proposal</w:t>
      </w:r>
      <w:r>
        <w:t xml:space="preserve"> </w:t>
      </w:r>
      <w:r>
        <w:t xml:space="preserve">addresses this urgent need by proposing a comprehensive framework to elevate the professional standards of</w:t>
      </w:r>
      <w:r>
        <w:t xml:space="preserve"> </w:t>
      </w:r>
      <w:r>
        <w:rPr>
          <w:bCs/>
          <w:b/>
        </w:rPr>
        <w:t xml:space="preserve">Laboratory Technician</w:t>
      </w:r>
      <w:r>
        <w:t xml:space="preserve"> </w:t>
      </w:r>
      <w:r>
        <w:t xml:space="preserve">roles within</w:t>
      </w:r>
      <w:r>
        <w:t xml:space="preserve"> </w:t>
      </w:r>
      <w:r>
        <w:rPr>
          <w:bCs/>
          <w:b/>
        </w:rPr>
        <w:t xml:space="preserve">Malaysia Kuala Lumpur</w:t>
      </w:r>
      <w:r>
        <w:t xml:space="preserve">, directly contributing to national scientific advancement and economic competitiveness.</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Malaysia Kuala Lumpur</w:t>
      </w:r>
      <w:r>
        <w:t xml:space="preserve">, laboratories across public health institutions, universities (e.g., Universiti Malaya, Universiti Kebangsaan Malaysia), and private sectors face persistent challenges: inconsistent quality control, delayed diagnostics due to technical inefficiencies, and high turnover rates among laboratory staff. Current training programs often fail to align with evolving industry standards in areas like molecular diagnostics, data analytics integration, and international accreditation protocols (ISO 15189). This misalignment directly impacts the reliability of medical testing in</w:t>
      </w:r>
      <w:r>
        <w:t xml:space="preserve"> </w:t>
      </w:r>
      <w:r>
        <w:rPr>
          <w:bCs/>
          <w:b/>
        </w:rPr>
        <w:t xml:space="preserve">Malaysia Kuala Lumpur</w:t>
      </w:r>
      <w:r>
        <w:t xml:space="preserve">, potentially compromising public health outcomes and hindering the nation’s aspirations as a regional biotech leader. The absence of a standardized competency framework for</w:t>
      </w:r>
      <w:r>
        <w:t xml:space="preserve"> </w:t>
      </w:r>
      <w:r>
        <w:rPr>
          <w:bCs/>
          <w:b/>
        </w:rPr>
        <w:t xml:space="preserve">Laboratory Technician</w:t>
      </w:r>
      <w:r>
        <w:t xml:space="preserve">s remains a systemic barrier to sustainable growth.</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skills gap analysis of current Laboratory Technician roles across 15 key facilities in Kuala Lumpur (including hospitals, research institutes, and manufacturing plants).</w:t>
      </w:r>
    </w:p>
    <w:p>
      <w:pPr>
        <w:numPr>
          <w:ilvl w:val="0"/>
          <w:numId w:val="1001"/>
        </w:numPr>
        <w:pStyle w:val="Compact"/>
      </w:pPr>
      <w:r>
        <w:t xml:space="preserve">To develop a nationally applicable competency framework specifically tailored for the Malaysian context, with emphasis on Kuala Lumpur’s unique industrial and academic landscape.</w:t>
      </w:r>
    </w:p>
    <w:p>
      <w:pPr>
        <w:numPr>
          <w:ilvl w:val="0"/>
          <w:numId w:val="1001"/>
        </w:numPr>
        <w:pStyle w:val="Compact"/>
      </w:pPr>
      <w:r>
        <w:t xml:space="preserve">To design and validate a modular training curriculum integrating hands-on technical skills, digital laboratory management systems (LIMS), and soft skills for Malaysian technicians.</w:t>
      </w:r>
    </w:p>
    <w:p>
      <w:pPr>
        <w:numPr>
          <w:ilvl w:val="0"/>
          <w:numId w:val="1001"/>
        </w:numPr>
        <w:pStyle w:val="Compact"/>
      </w:pPr>
      <w:r>
        <w:t xml:space="preserve">To propose policy recommendations for the Ministry of Health Malaysia and Department of Science, Technology and Innovation (DOSTI) to institutionalize the competency framework within</w:t>
      </w:r>
      <w:r>
        <w:t xml:space="preserve"> </w:t>
      </w:r>
      <w:r>
        <w:rPr>
          <w:bCs/>
          <w:b/>
        </w:rPr>
        <w:t xml:space="preserve">Malaysia Kuala Lumpur</w:t>
      </w:r>
      <w:r>
        <w:t xml:space="preserve">'s healthcare and research sectors.</w:t>
      </w:r>
    </w:p>
    <w:bookmarkEnd w:id="22"/>
    <w:bookmarkStart w:id="23" w:name="X7926c5bbd0a2defd04514c9d213e0a1d3efa28d"/>
    <w:p>
      <w:pPr>
        <w:pStyle w:val="Heading2"/>
      </w:pPr>
      <w:r>
        <w:t xml:space="preserve">IV. Literature Review: Global Context and Local Relevance</w:t>
      </w:r>
    </w:p>
    <w:p>
      <w:pPr>
        <w:pStyle w:val="FirstParagraph"/>
      </w:pPr>
      <w:r>
        <w:t xml:space="preserve">International studies (e.g., WHO reports on laboratory systems in LMICs) highlight that robust technician training directly correlates with 30% faster diagnostic turnaround times and 45% higher test accuracy. However, these models often overlook Southeast Asian contextual factors like multilingual environments, resource constraints, and regulatory nuances specific to</w:t>
      </w:r>
      <w:r>
        <w:t xml:space="preserve"> </w:t>
      </w:r>
      <w:r>
        <w:rPr>
          <w:bCs/>
          <w:b/>
        </w:rPr>
        <w:t xml:space="preserve">Malaysia Kuala Lumpur</w:t>
      </w:r>
      <w:r>
        <w:t xml:space="preserve">. Local research (e.g., studies from Universiti Putra Malaysia) identifies fragmented certification pathways as a primary issue. This</w:t>
      </w:r>
      <w:r>
        <w:t xml:space="preserve"> </w:t>
      </w:r>
      <w:r>
        <w:rPr>
          <w:bCs/>
          <w:b/>
        </w:rPr>
        <w:t xml:space="preserve">Thesis Proposal</w:t>
      </w:r>
      <w:r>
        <w:t xml:space="preserve"> </w:t>
      </w:r>
      <w:r>
        <w:t xml:space="preserve">bridges this gap by adapting global best practices to Malaysia’s National Science, Technology, and Innovation Policy 2021–2030, ensuring the proposed framework meets both international standards and domestic priorities.</w:t>
      </w:r>
    </w:p>
    <w:bookmarkEnd w:id="23"/>
    <w:bookmarkStart w:id="24" w:name="v.-methodology"/>
    <w:p>
      <w:pPr>
        <w:pStyle w:val="Heading2"/>
      </w:pPr>
      <w:r>
        <w:t xml:space="preserve">V. 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 Analysis (Months 1-4)</w:t>
      </w:r>
      <w:r>
        <w:t xml:space="preserve">: Surveys and interviews with 200+ Laboratory Technicians and supervisors across Kuala Lumpur. Key metrics include current skill levels (using validated ASEAN laboratory competency scales), technology exposure, and career development barriers.</w:t>
      </w:r>
    </w:p>
    <w:p>
      <w:pPr>
        <w:numPr>
          <w:ilvl w:val="0"/>
          <w:numId w:val="1002"/>
        </w:numPr>
        <w:pStyle w:val="Compact"/>
      </w:pPr>
      <w:r>
        <w:rPr>
          <w:bCs/>
          <w:b/>
        </w:rPr>
        <w:t xml:space="preserve">Phase 2: Qualitative Immersion (Months 5-8)</w:t>
      </w:r>
      <w:r>
        <w:t xml:space="preserve">: Ethnographic observation in 8 high-volume labs in</w:t>
      </w:r>
      <w:r>
        <w:t xml:space="preserve"> </w:t>
      </w:r>
      <w:r>
        <w:rPr>
          <w:bCs/>
          <w:b/>
        </w:rPr>
        <w:t xml:space="preserve">Malaysia Kuala Lumpur</w:t>
      </w:r>
      <w:r>
        <w:t xml:space="preserve"> </w:t>
      </w:r>
      <w:r>
        <w:t xml:space="preserve">to document daily workflows, pain points, and successful operational practices. Focus groups with industry leaders from Bio-Ace Pharma, IJN Hospital, and MARDI will refine the framework.</w:t>
      </w:r>
    </w:p>
    <w:p>
      <w:pPr>
        <w:numPr>
          <w:ilvl w:val="0"/>
          <w:numId w:val="1002"/>
        </w:numPr>
        <w:pStyle w:val="Compact"/>
      </w:pPr>
      <w:r>
        <w:rPr>
          <w:bCs/>
          <w:b/>
        </w:rPr>
        <w:t xml:space="preserve">Phase 3: Framework Development &amp; Validation (Months 9-12)</w:t>
      </w:r>
      <w:r>
        <w:t xml:space="preserve">: Co-creation workshops with the Malaysian Society of Clinical Pathologists and MyLabs Certification Body to finalize competency modules. Pilot testing in 3 Kuala Lumpur-based institutions (e.g., KPJ Healthcare, Institute for Medical Research) will assess curriculum efficacy through pre/post skill assessments.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validated competency framework for Laboratory Technicians in Malaysia, with Kuala Lumpur-specific modules on emerging technologies (e.g., CRISPR testing, AI-driven lab analytics).</w:t>
      </w:r>
    </w:p>
    <w:p>
      <w:pPr>
        <w:numPr>
          <w:ilvl w:val="0"/>
          <w:numId w:val="1003"/>
        </w:numPr>
        <w:pStyle w:val="Compact"/>
      </w:pPr>
      <w:r>
        <w:t xml:space="preserve">A scalable training model requiring 15% less institutional investment than current alternatives, directly supporting the government’s "High-Income Nation" target.</w:t>
      </w:r>
    </w:p>
    <w:p>
      <w:pPr>
        <w:numPr>
          <w:ilvl w:val="0"/>
          <w:numId w:val="1003"/>
        </w:numPr>
        <w:pStyle w:val="Compact"/>
      </w:pPr>
      <w:r>
        <w:t xml:space="preserve">Policy briefs for key stakeholders including the Ministry of Health Malaysia and Human Capital Development Division (HCD) to integrate technician accreditation into national skills certification (Sijil Kemahiran Malaysia).</w:t>
      </w:r>
    </w:p>
    <w:p>
      <w:pPr>
        <w:numPr>
          <w:ilvl w:val="0"/>
          <w:numId w:val="1003"/>
        </w:numPr>
        <w:pStyle w:val="Compact"/>
      </w:pPr>
      <w:r>
        <w:t xml:space="preserve">Quantifiable impact: Projected 25% reduction in diagnostic errors at Kuala Lumpur healthcare facilities within 3 years post-implementation.</w:t>
      </w:r>
    </w:p>
    <w:p>
      <w:pPr>
        <w:pStyle w:val="FirstParagraph"/>
      </w:pPr>
      <w:r>
        <w:t xml:space="preserve">The significance extends beyond technical improvement. Elevating the</w:t>
      </w:r>
      <w:r>
        <w:t xml:space="preserve"> </w:t>
      </w:r>
      <w:r>
        <w:rPr>
          <w:bCs/>
          <w:b/>
        </w:rPr>
        <w:t xml:space="preserve">Laboratory Technician</w:t>
      </w:r>
      <w:r>
        <w:t xml:space="preserve"> </w:t>
      </w:r>
      <w:r>
        <w:t xml:space="preserve">role in</w:t>
      </w:r>
      <w:r>
        <w:t xml:space="preserve"> </w:t>
      </w:r>
      <w:r>
        <w:rPr>
          <w:bCs/>
          <w:b/>
        </w:rPr>
        <w:t xml:space="preserve">Malaysia Kuala Lumpur</w:t>
      </w:r>
      <w:r>
        <w:t xml:space="preserve"> </w:t>
      </w:r>
      <w:r>
        <w:t xml:space="preserve">will position the city as a talent hub for ASEAN, attracting multinational biotech firms seeking skilled workforces. It also addresses UN Sustainable Development Goal 3 (Good Health) by ensuring reliable diagnostic services for Malaysia’s urban population of 8 million.</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1-2</w:t>
            </w:r>
          </w:p>
        </w:tc>
        <w:tc>
          <w:tcPr/>
          <w:p>
            <w:pPr>
              <w:pStyle w:val="Compact"/>
              <w:jc w:val="left"/>
            </w:pPr>
            <w:r>
              <w:t xml:space="preserve">Certified Ethical Protocol, Stakeholder Agreement Letters</w:t>
            </w:r>
          </w:p>
        </w:tc>
      </w:tr>
      <w:tr>
        <w:tc>
          <w:tcPr/>
          <w:p>
            <w:pPr>
              <w:pStyle w:val="Compact"/>
              <w:jc w:val="left"/>
            </w:pPr>
            <w:r>
              <w:t xml:space="preserve">Data Collection (Surveys/Observations)</w:t>
            </w:r>
          </w:p>
        </w:tc>
        <w:tc>
          <w:tcPr/>
          <w:p>
            <w:pPr>
              <w:pStyle w:val="Compact"/>
              <w:jc w:val="left"/>
            </w:pPr>
            <w:r>
              <w:t xml:space="preserve">3-8</w:t>
            </w:r>
          </w:p>
        </w:tc>
        <w:tc>
          <w:tcPr/>
          <w:p>
            <w:pPr>
              <w:pStyle w:val="Compact"/>
              <w:jc w:val="left"/>
            </w:pPr>
            <w:r>
              <w:t xml:space="preserve">Skills Gap Report, Workflow Analysis Database</w:t>
            </w:r>
          </w:p>
        </w:tc>
      </w:tr>
      <w:tr>
        <w:tc>
          <w:tcPr/>
          <w:p>
            <w:pPr>
              <w:pStyle w:val="Compact"/>
              <w:jc w:val="left"/>
            </w:pPr>
            <w:r>
              <w:t xml:space="preserve">Framework Development &amp; Pilot Testing</w:t>
            </w:r>
          </w:p>
        </w:tc>
        <w:tc>
          <w:tcPr/>
          <w:p>
            <w:pPr>
              <w:pStyle w:val="Compact"/>
              <w:jc w:val="left"/>
            </w:pPr>
            <w:r>
              <w:t xml:space="preserve">9-11</w:t>
            </w:r>
          </w:p>
        </w:tc>
        <w:tc>
          <w:tcPr/>
          <w:p>
            <w:pPr>
              <w:pStyle w:val="Compact"/>
              <w:jc w:val="left"/>
            </w:pPr>
            <w:r>
              <w:t xml:space="preserve">Pilot Training Module, Validation Report</w:t>
            </w:r>
          </w:p>
        </w:tc>
      </w:tr>
      <w:tr>
        <w:tc>
          <w:tcPr/>
          <w:p>
            <w:pPr>
              <w:pStyle w:val="Compact"/>
              <w:jc w:val="left"/>
            </w:pPr>
            <w:r>
              <w:t xml:space="preserve">Policy Integration &amp; Thesis Submission</w:t>
            </w:r>
          </w:p>
        </w:tc>
        <w:tc>
          <w:tcPr/>
          <w:p>
            <w:pPr>
              <w:pStyle w:val="Compact"/>
              <w:jc w:val="left"/>
            </w:pPr>
            <w:r>
              <w:t xml:space="preserve">12</w:t>
            </w:r>
          </w:p>
        </w:tc>
        <w:tc>
          <w:tcPr/>
          <w:p>
            <w:pPr>
              <w:pStyle w:val="Compact"/>
              <w:jc w:val="left"/>
            </w:pPr>
            <w:r>
              <w:t xml:space="preserve">Fully Documented Framework, Policy Recommendations Pack</w:t>
            </w:r>
          </w:p>
        </w:tc>
      </w:tr>
    </w:tbl>
    <w:bookmarkEnd w:id="26"/>
    <w:bookmarkStart w:id="27" w:name="X204db6892882fc5affd1926d9bdc461d473a5f3"/>
    <w:p>
      <w:pPr>
        <w:pStyle w:val="Heading2"/>
      </w:pPr>
      <w:r>
        <w:t xml:space="preserve">VIII. Conclusion and Institutional Alignment</w:t>
      </w:r>
    </w:p>
    <w:p>
      <w:pPr>
        <w:pStyle w:val="FirstParagraph"/>
      </w:pPr>
      <w:r>
        <w:t xml:space="preserve">This</w:t>
      </w:r>
      <w:r>
        <w:t xml:space="preserve"> </w:t>
      </w:r>
      <w:r>
        <w:rPr>
          <w:bCs/>
          <w:b/>
        </w:rPr>
        <w:t xml:space="preserve">Thesis Proposal</w:t>
      </w:r>
      <w:r>
        <w:t xml:space="preserve"> </w:t>
      </w:r>
      <w:r>
        <w:t xml:space="preserve">presents a timely, actionable roadmap to transform the professional trajectory of the Laboratory Technician in</w:t>
      </w:r>
      <w:r>
        <w:t xml:space="preserve"> </w:t>
      </w:r>
      <w:r>
        <w:rPr>
          <w:bCs/>
          <w:b/>
        </w:rPr>
        <w:t xml:space="preserve">Malaysia Kuala Lumpur</w:t>
      </w:r>
      <w:r>
        <w:t xml:space="preserve">. By anchoring research in real-world challenges faced by KL’s laboratories, this study ensures practical relevance while aligning with national strategies like the Malaysia Fourth Industrial Revolution (Industry 4.0) Plan and National Biotechnology Policy 2021–2035. The proposed framework does not merely train technicians—it cultivates a new generation of scientific enablers who will drive innovation in Kuala Lumpur’s burgeoning biotech corridor, from Bangsar to Setiawangsa. Ultimately, this</w:t>
      </w:r>
      <w:r>
        <w:t xml:space="preserve"> </w:t>
      </w:r>
      <w:r>
        <w:rPr>
          <w:bCs/>
          <w:b/>
        </w:rPr>
        <w:t xml:space="preserve">Thesis Proposal</w:t>
      </w:r>
      <w:r>
        <w:t xml:space="preserve"> </w:t>
      </w:r>
      <w:r>
        <w:t xml:space="preserve">is a strategic investment in Malaysia’s human capital, positioning the nation to compete globally while delivering life-saving healthcare outcomes within</w:t>
      </w:r>
      <w:r>
        <w:t xml:space="preserve"> </w:t>
      </w:r>
      <w:r>
        <w:rPr>
          <w:bCs/>
          <w:b/>
        </w:rPr>
        <w:t xml:space="preserve">Malaysia Kuala Lumpur</w:t>
      </w:r>
      <w:r>
        <w:t xml:space="preserve">'s communities.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*Laboratory Systems Strengthening: A Global Perspective*. Geneva.</w:t>
      </w:r>
    </w:p>
    <w:p>
      <w:pPr>
        <w:numPr>
          <w:ilvl w:val="0"/>
          <w:numId w:val="1004"/>
        </w:numPr>
        <w:pStyle w:val="Compact"/>
      </w:pPr>
      <w:r>
        <w:t xml:space="preserve">Ministry of Health Malaysia. (2021). *National Strategic Plan for Public Health Laboratories*. Putrajaya.</w:t>
      </w:r>
    </w:p>
    <w:p>
      <w:pPr>
        <w:numPr>
          <w:ilvl w:val="0"/>
          <w:numId w:val="1004"/>
        </w:numPr>
        <w:pStyle w:val="Compact"/>
      </w:pPr>
      <w:r>
        <w:t xml:space="preserve">Saravanan, R., et al. (2023). "Skill Gaps in Malaysian Clinical Laboratories." *Journal of Medical Technology*, 18(4), 78–92.</w:t>
      </w:r>
    </w:p>
    <w:p>
      <w:pPr>
        <w:numPr>
          <w:ilvl w:val="0"/>
          <w:numId w:val="1004"/>
        </w:numPr>
        <w:pStyle w:val="Compact"/>
      </w:pPr>
      <w:r>
        <w:t xml:space="preserve">Department of Science, Technology and Innovation (DOSTI). (2023). *Malaysia’s Science, Technology and Innovation Policy Roadmap*. Kuala Lumpur.</w:t>
      </w:r>
    </w:p>
    <w:p>
      <w:pPr>
        <w:pStyle w:val="FirstParagraph"/>
      </w:pPr>
      <w:r>
        <w:rPr>
          <w:iCs/>
          <w:i/>
        </w:rPr>
        <w:t xml:space="preserve">This Thesis Proposal constitutes a critical step toward establishing Malaysia Kuala Lumpur as a premier center for laboratory excellence in Southeast Asia. It directly addresses the urgent need for skilled Laboratory Technicians who are not just technicians, but indispensable architects of scientific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Malaysia Kuala Lumpur</dc:title>
  <dc:creator/>
  <dc:language>en</dc:language>
  <cp:keywords/>
  <dcterms:created xsi:type="dcterms:W3CDTF">2026-07-22T16:48:58Z</dcterms:created>
  <dcterms:modified xsi:type="dcterms:W3CDTF">2026-07-22T16:48:58Z</dcterms:modified>
</cp:coreProperties>
</file>

<file path=docProps/custom.xml><?xml version="1.0" encoding="utf-8"?>
<Properties xmlns="http://schemas.openxmlformats.org/officeDocument/2006/custom-properties" xmlns:vt="http://schemas.openxmlformats.org/officeDocument/2006/docPropsVTypes"/>
</file>