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Qatar</w:t>
      </w:r>
      <w:r>
        <w:t xml:space="preserve"> </w:t>
      </w:r>
      <w:r>
        <w:t xml:space="preserve">Doha</w:t>
      </w:r>
      <w:r>
        <w:t xml:space="preserve"> </w:t>
      </w:r>
      <w:r>
        <w:t xml:space="preserve">for</w:t>
      </w:r>
      <w:r>
        <w:t xml:space="preserve"> </w:t>
      </w:r>
      <w:r>
        <w:t xml:space="preserve">Sustainable</w:t>
      </w:r>
      <w:r>
        <w:t xml:space="preserve"> </w:t>
      </w:r>
      <w:r>
        <w:t xml:space="preserve">Healthcare</w:t>
      </w:r>
      <w:r>
        <w:t xml:space="preserve"> </w:t>
      </w:r>
      <w:r>
        <w:t xml:space="preserve">Development</w:t>
      </w:r>
    </w:p>
    <w:bookmarkStart w:id="29" w:name="Xff2cfd6441f14c7992ba32e707a5019bef32771"/>
    <w:p>
      <w:pPr>
        <w:pStyle w:val="Heading1"/>
      </w:pPr>
      <w:r>
        <w:t xml:space="preserve">Thesis Proposal: Enhancing Laboratory Technician Proficiency in Qatar Doha for Sustainable Healthcare Development</w:t>
      </w:r>
    </w:p>
    <w:bookmarkStart w:id="20" w:name="introduction"/>
    <w:p>
      <w:pPr>
        <w:pStyle w:val="Heading2"/>
      </w:pPr>
      <w:r>
        <w:t xml:space="preserve">1. Introduction</w:t>
      </w:r>
    </w:p>
    <w:p>
      <w:pPr>
        <w:pStyle w:val="FirstParagraph"/>
      </w:pPr>
      <w:r>
        <w:t xml:space="preserve">The State of Qatar, with its ambitious National Vision 2030, has prioritized healthcare excellence as a cornerstone of national development. As Doha emerges as a regional healthcare hub, the role of the</w:t>
      </w:r>
      <w:r>
        <w:t xml:space="preserve"> </w:t>
      </w:r>
      <w:r>
        <w:rPr>
          <w:bCs/>
          <w:b/>
        </w:rPr>
        <w:t xml:space="preserve">Laboratory Technician</w:t>
      </w:r>
      <w:r>
        <w:t xml:space="preserve"> </w:t>
      </w:r>
      <w:r>
        <w:t xml:space="preserve">has become increasingly critical in ensuring accurate diagnostics, public health surveillance, and medical research. Qatar's rapid expansion of healthcare infrastructure—including world-class facilities like Hamad Medical Corporation (HMC) and Sidra Medicine—has intensified demand for highly skilled Laboratory Technicians. However, a significant gap persists between the evolving technical requirements of modern laboratories and the current competencies of technicians operating within Qatar Doha's unique socio-medical context. This thesis proposal addresses this critical need by investigating strategies to standardize, elevate, and sustain the professional development of Laboratory Technicians across Qatar's healthcare ecosystem.</w:t>
      </w:r>
    </w:p>
    <w:bookmarkEnd w:id="20"/>
    <w:bookmarkStart w:id="21" w:name="problem-statement"/>
    <w:p>
      <w:pPr>
        <w:pStyle w:val="Heading2"/>
      </w:pPr>
      <w:r>
        <w:t xml:space="preserve">2. Problem Statement</w:t>
      </w:r>
    </w:p>
    <w:p>
      <w:pPr>
        <w:pStyle w:val="FirstParagraph"/>
      </w:pPr>
      <w:r>
        <w:t xml:space="preserve">Despite Qatar's investment in cutting-edge diagnostic technology, several challenges hinder optimal Laboratory Technician performance in Doha. First, there is no unified national competency framework specifically designed for the Qatari healthcare environment, leading to inconsistent training standards across public and private laboratories. Second, existing certification programs often fail to address emerging technologies such as genomic sequencing and AI-driven diagnostics that are increasingly deployed in Doha's hospitals. Third, cultural adaptation of international protocols remains underexplored—many technicians trained abroad struggle to implement standardized procedures within Qatar's distinct patient demographic (notably the high expatriate population) and regulatory landscape. Consequently, diagnostic errors, prolonged test turnaround times, and suboptimal utilization of advanced equipment threaten Qatar Doha's healthcare goals. This research directly confronts these gaps by analyzing current practices and proposing context-specific solutions.</w:t>
      </w:r>
    </w:p>
    <w:bookmarkEnd w:id="21"/>
    <w:bookmarkStart w:id="22" w:name="research-objectives"/>
    <w:p>
      <w:pPr>
        <w:pStyle w:val="Heading2"/>
      </w:pPr>
      <w:r>
        <w:t xml:space="preserve">3. Research Objectives</w:t>
      </w:r>
    </w:p>
    <w:p>
      <w:pPr>
        <w:numPr>
          <w:ilvl w:val="0"/>
          <w:numId w:val="1001"/>
        </w:numPr>
        <w:pStyle w:val="Compact"/>
      </w:pPr>
      <w:r>
        <w:t xml:space="preserve">To evaluate the existing competency frameworks for Laboratory Technicians in Qatar Doha against international standards (CLIA, ISO 15189) and identify critical skill gaps.</w:t>
      </w:r>
    </w:p>
    <w:p>
      <w:pPr>
        <w:numPr>
          <w:ilvl w:val="0"/>
          <w:numId w:val="1001"/>
        </w:numPr>
        <w:pStyle w:val="Compact"/>
      </w:pPr>
      <w:r>
        <w:t xml:space="preserve">To investigate the impact of cultural, linguistic, and institutional factors on Laboratory Technician effectiveness within Doha's multi-ethnic healthcare settings.</w:t>
      </w:r>
    </w:p>
    <w:p>
      <w:pPr>
        <w:numPr>
          <w:ilvl w:val="0"/>
          <w:numId w:val="1001"/>
        </w:numPr>
        <w:pStyle w:val="Compact"/>
      </w:pPr>
      <w:r>
        <w:t xml:space="preserve">To develop a culturally responsive competency model tailored for Laboratory Technicians operating in Qatar Doha's public and private healthcare sectors.</w:t>
      </w:r>
    </w:p>
    <w:p>
      <w:pPr>
        <w:numPr>
          <w:ilvl w:val="0"/>
          <w:numId w:val="1001"/>
        </w:numPr>
        <w:pStyle w:val="Compact"/>
      </w:pPr>
      <w:r>
        <w:t xml:space="preserve">To propose a sustainable training framework incorporating Qatar-specific case studies, Arabic-language technical resources, and partnerships with local institutions like the Hamad Medical Corporation (HMC) Academy.</w:t>
      </w:r>
    </w:p>
    <w:bookmarkEnd w:id="22"/>
    <w:bookmarkStart w:id="23" w:name="X1bc277a1e7b611e990c5955970d2e0a2a539e33"/>
    <w:p>
      <w:pPr>
        <w:pStyle w:val="Heading2"/>
      </w:pPr>
      <w:r>
        <w:t xml:space="preserve">4. Literature Review: Contextualizing the Gap</w:t>
      </w:r>
    </w:p>
    <w:p>
      <w:pPr>
        <w:pStyle w:val="FirstParagraph"/>
      </w:pPr>
      <w:r>
        <w:t xml:space="preserve">While global literature emphasizes Laboratory Technician training (e.g., WHO guidelines for low-resource settings), few studies address Gulf-specific contexts. A 2021 study in *Journal of Clinical Pathology* highlighted competency mismatches in UAE labs, yet Qatar's unique challenges—such as its nationalization drive (Qatar National Vision 2030) and reliance on diverse expatriate workforces—remain unexamined. Similarly, research on "cultural intelligence" in Middle Eastern healthcare (Al-Mahrooqi et al., 2022) focuses on physicians, not technicians. Crucially, Qatar's own National Health Strategy 2018–2030 references laboratory excellence but lacks actionable protocols for Technician development. This thesis bridges this gap by centering the Laboratory Technician's role in Qatar Doha’s healthcare continuum.</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Quantitative Analysis:</w:t>
      </w:r>
      <w:r>
        <w:t xml:space="preserve"> </w:t>
      </w:r>
      <w:r>
        <w:t xml:space="preserve">Survey of 150 Laboratory Technicians across HMC, private labs (e.g., LabOne), and academic institutions in Doha, measuring competency against ISO 15189 criteria using Likert-scale questionnaires.</w:t>
      </w:r>
    </w:p>
    <w:p>
      <w:pPr>
        <w:numPr>
          <w:ilvl w:val="0"/>
          <w:numId w:val="1002"/>
        </w:numPr>
        <w:pStyle w:val="Compact"/>
      </w:pPr>
      <w:r>
        <w:rPr>
          <w:bCs/>
          <w:b/>
        </w:rPr>
        <w:t xml:space="preserve">Qualitative Insights:</w:t>
      </w:r>
      <w:r>
        <w:t xml:space="preserve"> </w:t>
      </w:r>
      <w:r>
        <w:t xml:space="preserve">Semi-structured interviews with 25 key stakeholders (including HMC lab directors, Ministry of Public Health officials, and senior technicians) exploring cultural adaptation barriers and training preferences.</w:t>
      </w:r>
    </w:p>
    <w:p>
      <w:pPr>
        <w:numPr>
          <w:ilvl w:val="0"/>
          <w:numId w:val="1002"/>
        </w:numPr>
        <w:pStyle w:val="Compact"/>
      </w:pPr>
      <w:r>
        <w:rPr>
          <w:bCs/>
          <w:b/>
        </w:rPr>
        <w:t xml:space="preserve">Contextual Framework Development:</w:t>
      </w:r>
      <w:r>
        <w:t xml:space="preserve"> </w:t>
      </w:r>
      <w:r>
        <w:t xml:space="preserve">Co-design workshops with technicians and educators to draft a Qatar-specific competency model, validated through pilot testing in 3 Doha laboratories.</w:t>
      </w:r>
    </w:p>
    <w:p>
      <w:pPr>
        <w:pStyle w:val="FirstParagraph"/>
      </w:pPr>
      <w:r>
        <w:t xml:space="preserve">Data will be analyzed using SPSS for quantitative results and thematic analysis for qualitative data. Ethical approval will be sought from Qatar University’s IRB, prioritizing confidentiality given the sensitive nature of healthcare operations.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3"/>
        </w:numPr>
        <w:pStyle w:val="Compact"/>
      </w:pPr>
      <w:r>
        <w:t xml:space="preserve">A validated competency framework for Laboratory Technicians in Qatar Doha, integrating technical skills (e.g., molecular diagnostics), cultural competence, and Qatari regulatory requirements.</w:t>
      </w:r>
    </w:p>
    <w:p>
      <w:pPr>
        <w:numPr>
          <w:ilvl w:val="0"/>
          <w:numId w:val="1003"/>
        </w:numPr>
        <w:pStyle w:val="Compact"/>
      </w:pPr>
      <w:r>
        <w:t xml:space="preserve">A scalable training module featuring Arabic-language simulation scenarios addressing common Doha-specific cases (e.g., infectious disease patterns in expatriate communities).</w:t>
      </w:r>
    </w:p>
    <w:p>
      <w:pPr>
        <w:numPr>
          <w:ilvl w:val="0"/>
          <w:numId w:val="1003"/>
        </w:numPr>
        <w:pStyle w:val="Compact"/>
      </w:pPr>
      <w:r>
        <w:t xml:space="preserve">Policy recommendations for the Ministry of Public Health to formalize certification pathways aligned with National Vision 2030, reducing diagnostic variability and enhancing patient safety.</w:t>
      </w:r>
    </w:p>
    <w:p>
      <w:pPr>
        <w:pStyle w:val="FirstParagraph"/>
      </w:pPr>
      <w:r>
        <w:t xml:space="preserve">The significance extends beyond Doha: As Qatar positions itself as a regional healthcare leader, this model could be adapted for other Gulf Cooperation Council (GCC) nations. For Qatar Doha specifically, it directly supports Vision 2030’s "Healthcare Excellence" pillar by strengthening the foundation of diagnostic accuracy—a prerequisite for precision medicine initiatives and pandemic preparedness.</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Survey Design</w:t>
      </w:r>
    </w:p>
    <w:p>
      <w:pPr>
        <w:pStyle w:val="BodyText"/>
      </w:pPr>
      <w:r>
        <w:t xml:space="preserve">Months 1-3</w:t>
      </w:r>
    </w:p>
    <w:p>
      <w:pPr>
        <w:pStyle w:val="BodyText"/>
      </w:pPr>
      <w:r>
        <w:t xml:space="preserve">Critical analysis report; validated survey instrument</w:t>
      </w:r>
    </w:p>
    <w:p>
      <w:pPr>
        <w:pStyle w:val="BodyText"/>
      </w:pPr>
      <w:r>
        <w:t xml:space="preserve">Data Collection (Surveys &amp; Interviews)</w:t>
      </w:r>
    </w:p>
    <w:p>
      <w:pPr>
        <w:pStyle w:val="BodyText"/>
      </w:pPr>
      <w:r>
        <w:t xml:space="preserve">Months 4-7</w:t>
      </w:r>
    </w:p>
    <w:p>
      <w:pPr>
        <w:pStyle w:val="BodyText"/>
      </w:pPr>
      <w:r>
        <w:t xml:space="preserve">Quantitative dataset; thematic interview transcripts</w:t>
      </w:r>
    </w:p>
    <w:p>
      <w:pPr>
        <w:pStyle w:val="BodyText"/>
      </w:pPr>
      <w:r>
        <w:t xml:space="preserve">Framework Development &amp; Validation</w:t>
      </w:r>
    </w:p>
    <w:p>
      <w:pPr>
        <w:pStyle w:val="BodyText"/>
      </w:pPr>
      <w:r>
        <w:t xml:space="preserve">Months 8-10</w:t>
      </w:r>
    </w:p>
    <w:p>
      <w:pPr>
        <w:pStyle w:val="BodyText"/>
      </w:pPr>
      <w:r>
        <w:t xml:space="preserve">Pilot-tested competency model; draft training curriculum</w:t>
      </w:r>
    </w:p>
    <w:p>
      <w:pPr>
        <w:pStyle w:val="BodyText"/>
      </w:pPr>
      <w:r>
        <w:t xml:space="preserve">Dissertation Writing &amp; Policy Briefing</w:t>
      </w:r>
    </w:p>
    <w:p>
      <w:pPr>
        <w:pStyle w:val="BodyText"/>
      </w:pPr>
      <w:r>
        <w:t xml:space="preserve">Months 11-12</w:t>
      </w:r>
    </w:p>
    <w:p>
      <w:pPr>
        <w:pStyle w:val="BodyText"/>
      </w:pPr>
      <w:r>
        <w:t xml:space="preserve">Final Report to Ministry of Public Health (MOPH)</w:t>
      </w:r>
    </w:p>
    <w:bookmarkEnd w:id="26"/>
    <w:bookmarkStart w:id="27" w:name="conclusion"/>
    <w:p>
      <w:pPr>
        <w:pStyle w:val="Heading2"/>
      </w:pPr>
      <w:r>
        <w:t xml:space="preserve">8. Conclusion</w:t>
      </w:r>
    </w:p>
    <w:p>
      <w:pPr>
        <w:pStyle w:val="FirstParagraph"/>
      </w:pPr>
      <w:r>
        <w:t xml:space="preserve">The Laboratory Technician is the unsung backbone of Qatar Doha’s healthcare system, yet their potential remains unrealized due to fragmented professional development. This thesis proposes a targeted solution grounded in local realities—moving beyond generic international models to create a sustainable, Qatar-centric pathway for Technician excellence. By aligning technical training with cultural dynamics and national strategy, this research will empower Laboratory Technicians to deliver the precision diagnostics essential for Qatar’s healthcare leadership. Ultimately, it seeks not only to elevate individual careers but to fortify Doha’s reputation as a hub where medical innovation meets contextual intelligence—proving that in the quest for health excellence, every technician matters.</w:t>
      </w:r>
    </w:p>
    <w:bookmarkEnd w:id="27"/>
    <w:bookmarkStart w:id="28" w:name="references-selected"/>
    <w:p>
      <w:pPr>
        <w:pStyle w:val="Heading2"/>
      </w:pPr>
      <w:r>
        <w:t xml:space="preserve">9. References (Selected)</w:t>
      </w:r>
    </w:p>
    <w:p>
      <w:pPr>
        <w:numPr>
          <w:ilvl w:val="0"/>
          <w:numId w:val="1004"/>
        </w:numPr>
        <w:pStyle w:val="Compact"/>
      </w:pPr>
      <w:r>
        <w:t xml:space="preserve">Hamad Medical Corporation. (2023). *Strategic Plan 2030: Laboratory Services Division*. Doha: HMC Publications.</w:t>
      </w:r>
    </w:p>
    <w:p>
      <w:pPr>
        <w:numPr>
          <w:ilvl w:val="0"/>
          <w:numId w:val="1004"/>
        </w:numPr>
        <w:pStyle w:val="Compact"/>
      </w:pPr>
      <w:r>
        <w:t xml:space="preserve">Ministry of Public Health, Qatar. (2018). *National Health Strategy 2018–2030*. Doha: MOPH.</w:t>
      </w:r>
    </w:p>
    <w:p>
      <w:pPr>
        <w:numPr>
          <w:ilvl w:val="0"/>
          <w:numId w:val="1004"/>
        </w:numPr>
        <w:pStyle w:val="Compact"/>
      </w:pPr>
      <w:r>
        <w:t xml:space="preserve">Al-Mahrooqi, A., et al. (2022). Cultural Intelligence in Healthcare Teams: A GCC Perspective. *International Journal of Health Policy and Management*, 11(5), 789–801.</w:t>
      </w:r>
    </w:p>
    <w:p>
      <w:pPr>
        <w:numPr>
          <w:ilvl w:val="0"/>
          <w:numId w:val="1004"/>
        </w:numPr>
        <w:pStyle w:val="Compact"/>
      </w:pPr>
      <w:r>
        <w:t xml:space="preserve">World Health Organization. (2020). *Laboratory Services in Support of National HIV Programmes*. Geneva: WHO.</w:t>
      </w:r>
    </w:p>
    <w:p>
      <w:pPr>
        <w:pStyle w:val="FirstParagraph"/>
      </w:pPr>
      <w:r>
        <w:rPr>
          <w:iCs/>
          <w:i/>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Qatar Doha for Sustainable Healthcare Development</dc:title>
  <dc:creator/>
  <dc:language>en</dc:language>
  <cp:keywords/>
  <dcterms:created xsi:type="dcterms:W3CDTF">2026-09-25T01:51:31Z</dcterms:created>
  <dcterms:modified xsi:type="dcterms:W3CDTF">2026-09-25T01:51:31Z</dcterms:modified>
</cp:coreProperties>
</file>

<file path=docProps/custom.xml><?xml version="1.0" encoding="utf-8"?>
<Properties xmlns="http://schemas.openxmlformats.org/officeDocument/2006/custom-properties" xmlns:vt="http://schemas.openxmlformats.org/officeDocument/2006/docPropsVTypes"/>
</file>