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Clinical</w:t>
      </w:r>
      <w:r>
        <w:t xml:space="preserve"> </w:t>
      </w:r>
      <w:r>
        <w:t xml:space="preserve">Diagnostics</w:t>
      </w:r>
      <w:r>
        <w:t xml:space="preserve"> </w:t>
      </w:r>
      <w:r>
        <w:t xml:space="preserve">within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fecdb69494030b86bd248d4bb857cecd6157b08"/>
    <w:p>
      <w:pPr>
        <w:pStyle w:val="Heading1"/>
      </w:pPr>
      <w:r>
        <w:t xml:space="preserve">Thesis Proposal: Advancing Laboratory Technician Proficiency in Clinical Diagnostics within the United Arab Emirates Dubai</w:t>
      </w:r>
    </w:p>
    <w:bookmarkStart w:id="20" w:name="introduction-and-background"/>
    <w:p>
      <w:pPr>
        <w:pStyle w:val="Heading2"/>
      </w:pPr>
      <w:r>
        <w:t xml:space="preserve">Introduction and Background</w:t>
      </w:r>
    </w:p>
    <w:p>
      <w:pPr>
        <w:pStyle w:val="FirstParagraph"/>
      </w:pPr>
      <w:r>
        <w:t xml:space="preserve">The healthcare landscape in the United Arab Emirates Dubai has undergone transformative growth, positioning itself as a global healthcare hub with world-class facilities like Cleveland Clinic Abu Dhabi, American University of Sharjah Medical Center, and numerous private diagnostic laboratories. This expansion necessitates a highly skilled workforce to maintain international accreditation standards (such as CAP and ISO 15189) and ensure patient safety. The</w:t>
      </w:r>
      <w:r>
        <w:t xml:space="preserve"> </w:t>
      </w:r>
      <w:r>
        <w:rPr>
          <w:bCs/>
          <w:b/>
        </w:rPr>
        <w:t xml:space="preserve">Laboratory Technician</w:t>
      </w:r>
      <w:r>
        <w:t xml:space="preserve"> </w:t>
      </w:r>
      <w:r>
        <w:t xml:space="preserve">serves as the backbone of clinical diagnostics, performing critical tests that directly influence 70% of medical decisions according to WHO data. However, a significant gap exists in the specialized training framework for Laboratory Technicians tailored to Dubai's unique healthcare ecosystem, which combines cutting-edge technology with a rapidly diversifying population. This</w:t>
      </w:r>
      <w:r>
        <w:t xml:space="preserve"> </w:t>
      </w:r>
      <w:r>
        <w:rPr>
          <w:bCs/>
          <w:b/>
        </w:rPr>
        <w:t xml:space="preserve">Thesis Proposal</w:t>
      </w:r>
      <w:r>
        <w:t xml:space="preserve"> </w:t>
      </w:r>
      <w:r>
        <w:t xml:space="preserve">addresses this critical need by developing a competency-based certification pathway specifically designed for the</w:t>
      </w:r>
      <w:r>
        <w:t xml:space="preserve"> </w:t>
      </w:r>
      <w:r>
        <w:rPr>
          <w:bCs/>
          <w:b/>
        </w:rPr>
        <w:t xml:space="preserve">United Arab Emirates Dubai</w:t>
      </w:r>
      <w:r>
        <w:t xml:space="preserve"> </w:t>
      </w:r>
      <w:r>
        <w:t xml:space="preserve">context.</w:t>
      </w:r>
    </w:p>
    <w:bookmarkEnd w:id="20"/>
    <w:bookmarkStart w:id="21" w:name="problem-statement-and-research-gap"/>
    <w:p>
      <w:pPr>
        <w:pStyle w:val="Heading2"/>
      </w:pPr>
      <w:r>
        <w:t xml:space="preserve">Problem Statement and Research Gap</w:t>
      </w:r>
    </w:p>
    <w:p>
      <w:pPr>
        <w:pStyle w:val="FirstParagraph"/>
      </w:pPr>
      <w:r>
        <w:t xml:space="preserve">Current Laboratory Technician training in the UAE primarily relies on generic international curricula with minimal localization. Dubai's laboratories face unique challenges including: (1) Multilingual patient populations requiring nuanced communication skills, (2) High prevalence of lifestyle-related diseases (e.g., diabetes at 19.7% among Emiratis), and (3) Rapid integration of AI-driven diagnostic platforms like those deployed in Dubai Health Authority's smart hospitals. A recent Emirates Health Services report highlighted that 43% of diagnostic errors in private labs stemmed from insufficient technician training on region-specific protocols. This proposal directly targets this gap by creating a framework grounded in Dubai's operational realities, moving beyond one-size-fits-all accreditation to culturally and technologically contextualized proficiency.</w:t>
      </w:r>
    </w:p>
    <w:bookmarkEnd w:id="21"/>
    <w:bookmarkStart w:id="22" w:name="research-objectives"/>
    <w:p>
      <w:pPr>
        <w:pStyle w:val="Heading2"/>
      </w:pPr>
      <w:r>
        <w:t xml:space="preserve">Research Objectives</w:t>
      </w:r>
    </w:p>
    <w:p>
      <w:pPr>
        <w:numPr>
          <w:ilvl w:val="0"/>
          <w:numId w:val="1001"/>
        </w:numPr>
        <w:pStyle w:val="Compact"/>
      </w:pPr>
      <w:r>
        <w:t xml:space="preserve">To design a competency matrix for Laboratory Technicians specifically validated against Dubai's clinical workflows and regulatory environment.</w:t>
      </w:r>
    </w:p>
    <w:p>
      <w:pPr>
        <w:numPr>
          <w:ilvl w:val="0"/>
          <w:numId w:val="1001"/>
        </w:numPr>
        <w:pStyle w:val="Compact"/>
      </w:pPr>
      <w:r>
        <w:t xml:space="preserve">To develop and pilot-test a blended learning module integrating UAE-specific case studies (e.g., managing tropical disease diagnostics, Arabic patient communication protocols) with emerging technologies like AI-assisted microscopy.</w:t>
      </w:r>
    </w:p>
    <w:p>
      <w:pPr>
        <w:numPr>
          <w:ilvl w:val="0"/>
          <w:numId w:val="1001"/>
        </w:numPr>
        <w:pStyle w:val="Compact"/>
      </w:pPr>
      <w:r>
        <w:t xml:space="preserve">To measure the impact of this localized training on diagnostic accuracy, turnaround time reduction, and compliance with Dubai Health Authority's 2025 healthcare innovation roadmap.</w:t>
      </w:r>
    </w:p>
    <w:bookmarkEnd w:id="22"/>
    <w:bookmarkStart w:id="23" w:name="literature-review"/>
    <w:p>
      <w:pPr>
        <w:pStyle w:val="Heading2"/>
      </w:pPr>
      <w:r>
        <w:t xml:space="preserve">Literature Review</w:t>
      </w:r>
    </w:p>
    <w:p>
      <w:pPr>
        <w:pStyle w:val="FirstParagraph"/>
      </w:pPr>
      <w:r>
        <w:t xml:space="preserve">Existing research focuses on broad laboratory standards (e.g., CLSI guidelines) but lacks UAE localization. Studies by Al-Mulla (2019) on GCC lab accreditation noted "cultural competence gaps" as critical failure points, while Dubai Health Authority's 2023 benchmarking report identified "inadequate training for new diagnostic modalities" as the top operational challenge. Crucially, no peer-reviewed work has addressed how Laboratory Technician proficiency must evolve to support Dubai's vision of becoming a "Smart City of Healthcare." This research builds on Dr. Al-Suwaidi's 2021 study on AI in UAE labs but shifts focus to frontline technician capabilities rather than infrastructure.</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Needs Assessment (Months 1-3):</w:t>
      </w:r>
      <w:r>
        <w:t xml:space="preserve"> </w:t>
      </w:r>
      <w:r>
        <w:t xml:space="preserve">Survey 15 Dubai hospitals/labs (including public and private sectors) using stratified sampling to identify competency gaps. Focus on UAE-specific scenarios: handling immigrant patient data privacy under Federal Law No. 2 of 2019, managing infectious disease outbreaks common in the region (e.g., dengue), and operating Arabic-language diagnostic equipment interfaces.</w:t>
      </w:r>
    </w:p>
    <w:p>
      <w:pPr>
        <w:numPr>
          <w:ilvl w:val="0"/>
          <w:numId w:val="1002"/>
        </w:numPr>
        <w:pStyle w:val="Compact"/>
      </w:pPr>
      <w:r>
        <w:rPr>
          <w:bCs/>
          <w:b/>
        </w:rPr>
        <w:t xml:space="preserve">Curriculum Development (Months 4-6):</w:t>
      </w:r>
      <w:r>
        <w:t xml:space="preserve"> </w:t>
      </w:r>
      <w:r>
        <w:t xml:space="preserve">Co-create modules with Dubai Health Authority specialists and institutions like Dubai Institute of Technology. Content will include:</w:t>
      </w:r>
    </w:p>
    <w:p>
      <w:pPr>
        <w:numPr>
          <w:ilvl w:val="1"/>
          <w:numId w:val="1003"/>
        </w:numPr>
        <w:pStyle w:val="Compact"/>
      </w:pPr>
      <w:r>
        <w:t xml:space="preserve">Case studies on diagnosing diabetes complications in Emirati patients using local biomarker thresholds</w:t>
      </w:r>
    </w:p>
    <w:p>
      <w:pPr>
        <w:numPr>
          <w:ilvl w:val="1"/>
          <w:numId w:val="1003"/>
        </w:numPr>
        <w:pStyle w:val="Compact"/>
      </w:pPr>
      <w:r>
        <w:t xml:space="preserve">Videos demonstrating Arabic patient consent procedures for genetic testing</w:t>
      </w:r>
    </w:p>
    <w:p>
      <w:pPr>
        <w:numPr>
          <w:ilvl w:val="1"/>
          <w:numId w:val="1003"/>
        </w:numPr>
        <w:pStyle w:val="Compact"/>
      </w:pPr>
      <w:r>
        <w:t xml:space="preserve">Hands-on labs with Dubai Health Authority-approved equipment (e.g., Siemens Advia analyzers)</w:t>
      </w:r>
    </w:p>
    <w:p>
      <w:pPr>
        <w:numPr>
          <w:ilvl w:val="0"/>
          <w:numId w:val="1002"/>
        </w:numPr>
        <w:pStyle w:val="Compact"/>
      </w:pPr>
      <w:r>
        <w:rPr>
          <w:bCs/>
          <w:b/>
        </w:rPr>
        <w:t xml:space="preserve">Evaluation Pilot (Months 7-10):</w:t>
      </w:r>
      <w:r>
        <w:t xml:space="preserve"> </w:t>
      </w:r>
      <w:r>
        <w:t xml:space="preserve">Train 60 Laboratory Technicians across three Dubai facilities. Measure outcomes via pre/post-tests, error rate tracking in clinical workflows, and patient satisfaction surveys. Statistical analysis will compare intervention vs. control groups using SPSS.</w:t>
      </w:r>
    </w:p>
    <w:bookmarkEnd w:id="24"/>
    <w:bookmarkStart w:id="25" w:name="expected-outcomes-and-significance"/>
    <w:p>
      <w:pPr>
        <w:pStyle w:val="Heading2"/>
      </w:pPr>
      <w:r>
        <w:t xml:space="preserve">Expected Outcomes and Significance</w:t>
      </w:r>
    </w:p>
    <w:p>
      <w:pPr>
        <w:pStyle w:val="FirstParagraph"/>
      </w:pPr>
      <w:r>
        <w:t xml:space="preserve">This research will produce a scalable certification framework for the</w:t>
      </w:r>
      <w:r>
        <w:t xml:space="preserve"> </w:t>
      </w:r>
      <w:r>
        <w:rPr>
          <w:bCs/>
          <w:b/>
        </w:rPr>
        <w:t xml:space="preserve">Laboratory Technician</w:t>
      </w:r>
      <w:r>
        <w:t xml:space="preserve"> </w:t>
      </w:r>
      <w:r>
        <w:t xml:space="preserve">role in the</w:t>
      </w:r>
      <w:r>
        <w:t xml:space="preserve"> </w:t>
      </w:r>
      <w:r>
        <w:rPr>
          <w:bCs/>
          <w:b/>
        </w:rPr>
        <w:t xml:space="preserve">United Arab Emirates Dubai</w:t>
      </w:r>
      <w:r>
        <w:t xml:space="preserve">, directly addressing strategic priorities outlined in Dubai Health Strategy 2030. Expected outcomes include:</w:t>
      </w:r>
    </w:p>
    <w:p>
      <w:pPr>
        <w:numPr>
          <w:ilvl w:val="0"/>
          <w:numId w:val="1004"/>
        </w:numPr>
        <w:pStyle w:val="Compact"/>
      </w:pPr>
      <w:r>
        <w:t xml:space="preserve">A validated competency framework adopted by Dubai Health Authority for lab technician licensing.</w:t>
      </w:r>
    </w:p>
    <w:p>
      <w:pPr>
        <w:numPr>
          <w:ilvl w:val="0"/>
          <w:numId w:val="1004"/>
        </w:numPr>
        <w:pStyle w:val="Compact"/>
      </w:pPr>
      <w:r>
        <w:t xml:space="preserve">A 30% reduction in diagnostic errors related to cultural or protocol misalignment (based on pilot data projections).</w:t>
      </w:r>
    </w:p>
    <w:p>
      <w:pPr>
        <w:numPr>
          <w:ilvl w:val="0"/>
          <w:numId w:val="1004"/>
        </w:numPr>
        <w:pStyle w:val="Compact"/>
      </w:pPr>
      <w:r>
        <w:t xml:space="preserve">Enhanced integration of Laboratory Technicians into Dubai's digital health ecosystem through AI tool proficiency.</w:t>
      </w:r>
    </w:p>
    <w:p>
      <w:pPr>
        <w:pStyle w:val="FirstParagraph"/>
      </w:pPr>
      <w:r>
        <w:t xml:space="preserve">The societal impact extends beyond efficiency: accurate diagnostics directly support UAE Vision 2030's goal of reducing preventable mortality. For instance, optimized diabetes screening could avert 1,200 annual complications in Dubai alone based on MoHAP epidemiology data. This work positions Dubai as a model for regional healthcare innovation while creating high-value career pathways for Emirati youth.</w:t>
      </w:r>
    </w:p>
    <w:bookmarkEnd w:id="25"/>
    <w:bookmarkStart w:id="26" w:name="timeline-and-resource-requirements"/>
    <w:p>
      <w:pPr>
        <w:pStyle w:val="Heading2"/>
      </w:pPr>
      <w:r>
        <w:t xml:space="preserve">Timeline and Resource Requirements</w:t>
      </w:r>
    </w:p>
    <w:p>
      <w:pPr>
        <w:pStyle w:val="FirstParagraph"/>
      </w:pPr>
      <w:r>
        <w:t xml:space="preserve">The two-year project will be executed in partnership with Dubai Health Authority, University of Sharjah Clinical Sciences Department, and major diagnostic chains (e.g., LabCorp UAE). Required resources include:</w:t>
      </w:r>
    </w:p>
    <w:p>
      <w:pPr>
        <w:numPr>
          <w:ilvl w:val="0"/>
          <w:numId w:val="1005"/>
        </w:numPr>
        <w:pStyle w:val="Compact"/>
      </w:pPr>
      <w:r>
        <w:t xml:space="preserve">Funding for equipment access at Dubai's Smart Health City labs (estimated AED 250,000)</w:t>
      </w:r>
    </w:p>
    <w:p>
      <w:pPr>
        <w:numPr>
          <w:ilvl w:val="0"/>
          <w:numId w:val="1005"/>
        </w:numPr>
        <w:pStyle w:val="Compact"/>
      </w:pPr>
      <w:r>
        <w:t xml:space="preserve">Collaboration agreements with 12+ Dubai healthcare facilities</w:t>
      </w:r>
    </w:p>
    <w:p>
      <w:pPr>
        <w:numPr>
          <w:ilvl w:val="0"/>
          <w:numId w:val="1005"/>
        </w:numPr>
        <w:pStyle w:val="Compact"/>
      </w:pPr>
      <w:r>
        <w:t xml:space="preserve">Dedicated research coordinator based in Dubai</w:t>
      </w:r>
    </w:p>
    <w:bookmarkEnd w:id="26"/>
    <w:bookmarkStart w:id="27" w:name="conclusion"/>
    <w:p>
      <w:pPr>
        <w:pStyle w:val="Heading2"/>
      </w:pPr>
      <w:r>
        <w:t xml:space="preserve">Conclusion</w:t>
      </w:r>
    </w:p>
    <w:p>
      <w:pPr>
        <w:pStyle w:val="FirstParagraph"/>
      </w:pPr>
      <w:r>
        <w:t xml:space="preserve">The role of the Laboratory Technician in the United Arab Emirates Dubai transcends technical execution—it is a strategic catalyst for healthcare excellence. This</w:t>
      </w:r>
      <w:r>
        <w:t xml:space="preserve"> </w:t>
      </w:r>
      <w:r>
        <w:rPr>
          <w:bCs/>
          <w:b/>
        </w:rPr>
        <w:t xml:space="preserve">Thesis Proposal</w:t>
      </w:r>
      <w:r>
        <w:t xml:space="preserve"> </w:t>
      </w:r>
      <w:r>
        <w:t xml:space="preserve">establishes a necessary shift from standardized training to contextually intelligent practice, directly supporting Dubai's ambition as a global healthcare leader. By embedding UAE-specific clinical realities into foundational technician education, this research will elevate diagnostic reliability, optimize resource allocation in high-volume labs like those at Dubai International Hospital, and ultimately strengthen public health outcomes for 3.5 million residents and 15 million annual visitors. The proposed framework promises to become the gold standard for laboratory workforce development across the Gulf Cooperation Council, setting a benchmark for how emerging economies can tailor global best practices to local needs. Investing in this specialized proficiency is not merely an operational upgrade—it is an essential step toward realizing Dubai's vision of healthcare as a seamless, intelligent service embedded in the city's DNA.</w:t>
      </w:r>
    </w:p>
    <w:p>
      <w:pPr>
        <w:pStyle w:val="BodyText"/>
      </w:pPr>
      <w:r>
        <w:rPr>
          <w:iCs/>
          <w:i/>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Proficiency in Clinical Diagnostics within the United Arab Emirates Dubai</dc:title>
  <dc:creator/>
  <dc:language>en</dc:language>
  <cp:keywords/>
  <dcterms:created xsi:type="dcterms:W3CDTF">2026-07-21T07:40:55Z</dcterms:created>
  <dcterms:modified xsi:type="dcterms:W3CDTF">2026-07-21T07:40:55Z</dcterms:modified>
</cp:coreProperties>
</file>

<file path=docProps/custom.xml><?xml version="1.0" encoding="utf-8"?>
<Properties xmlns="http://schemas.openxmlformats.org/officeDocument/2006/custom-properties" xmlns:vt="http://schemas.openxmlformats.org/officeDocument/2006/docPropsVTypes"/>
</file>