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Tashkent,</w:t>
      </w:r>
      <w:r>
        <w:t xml:space="preserve"> </w:t>
      </w:r>
      <w:r>
        <w:t xml:space="preserve">Uzbekistan</w:t>
      </w:r>
    </w:p>
    <w:bookmarkStart w:id="29" w:name="X2ba23b8632e729481075263c8eedf752e8771ba"/>
    <w:p>
      <w:pPr>
        <w:pStyle w:val="Heading1"/>
      </w:pPr>
      <w:r>
        <w:t xml:space="preserve">Thesis Proposal: Optimizing the Role of Laboratory Technicians in Advancing Healthcare and Scientific Research in Tashkent, Uzbekistan</w:t>
      </w:r>
    </w:p>
    <w:bookmarkStart w:id="20" w:name="introduction"/>
    <w:p>
      <w:pPr>
        <w:pStyle w:val="Heading2"/>
      </w:pPr>
      <w:r>
        <w:t xml:space="preserve">1. Introduction</w:t>
      </w:r>
    </w:p>
    <w:p>
      <w:pPr>
        <w:pStyle w:val="FirstParagraph"/>
      </w:pPr>
      <w:r>
        <w:t xml:space="preserve">The rapid development of healthcare systems and scientific research infrastructure in</w:t>
      </w:r>
      <w:r>
        <w:t xml:space="preserve"> </w:t>
      </w:r>
      <w:r>
        <w:rPr>
          <w:bCs/>
          <w:b/>
        </w:rPr>
        <w:t xml:space="preserve">Uzbekistan Tashkent</w:t>
      </w:r>
      <w:r>
        <w:t xml:space="preserve"> </w:t>
      </w:r>
      <w:r>
        <w:t xml:space="preserve">demands a highly skilled technical workforce. Among critical professionals, the</w:t>
      </w:r>
      <w:r>
        <w:t xml:space="preserve"> </w:t>
      </w:r>
      <w:r>
        <w:rPr>
          <w:bCs/>
          <w:b/>
        </w:rPr>
        <w:t xml:space="preserve">Laboratory Technician</w:t>
      </w:r>
      <w:r>
        <w:t xml:space="preserve"> </w:t>
      </w:r>
      <w:r>
        <w:t xml:space="preserve">serves as the backbone of diagnostic accuracy, public health surveillance, and biomedical innovation. Despite Uzbekistan's national strategy for healthcare modernization under "Strategy 2030," a significant gap persists in standardized training and professional development pathways for laboratory technicians across Tashkent's hospitals, research institutes, and public health facilities. This</w:t>
      </w:r>
      <w:r>
        <w:t xml:space="preserve"> </w:t>
      </w:r>
      <w:r>
        <w:rPr>
          <w:bCs/>
          <w:b/>
        </w:rPr>
        <w:t xml:space="preserve">Thesis Proposal</w:t>
      </w:r>
      <w:r>
        <w:t xml:space="preserve"> </w:t>
      </w:r>
      <w:r>
        <w:t xml:space="preserve">addresses this critical need by investigating best practices to elevate the competency framework of Laboratory Technicians in Tashkent, aligning with Uzbekistan's healthcare transformation goals.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Uzbekistan Tashkent</w:t>
      </w:r>
      <w:r>
        <w:t xml:space="preserve">, laboratory services face systemic challenges: outdated equipment, inconsistent quality control protocols, and insufficiently trained personnel. According to the Ministry of Health's 2023 report, only 47% of laboratory technicians in Tashkent possess formal certification meeting international standards (ISO/IEC 15189), leading to diagnostic errors in 15–20% of critical cases. This deficiency directly impacts patient outcomes and undermines Uzbekistan's efforts to combat infectious diseases like tuberculosis and emerging pathogens. Crucially, current vocational training programs lack integration with Tashkent's evolving healthcare ecosystem, leaving</w:t>
      </w:r>
      <w:r>
        <w:t xml:space="preserve"> </w:t>
      </w:r>
      <w:r>
        <w:rPr>
          <w:bCs/>
          <w:b/>
        </w:rPr>
        <w:t xml:space="preserve">Laboratory Technician</w:t>
      </w:r>
      <w:r>
        <w:t xml:space="preserve"> </w:t>
      </w:r>
      <w:r>
        <w:t xml:space="preserve">roles under-resourced compared to medical doctors or nurses. Without immediate intervention, Uzbekistan risks falling short of its public health targets in the Central Asian region.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Laboratory Technician training curricula at Tashkent-based institutions (e.g., Tashkent Medical Academy, National Center for Disease Control).</w:t>
      </w:r>
    </w:p>
    <w:p>
      <w:pPr>
        <w:numPr>
          <w:ilvl w:val="0"/>
          <w:numId w:val="1001"/>
        </w:numPr>
        <w:pStyle w:val="Compact"/>
      </w:pPr>
      <w:r>
        <w:t xml:space="preserve">To identify skill gaps between current technician capabilities and requirements for modern diagnostic technologies (molecular diagnostics, automated analyzers) prevalent in</w:t>
      </w:r>
      <w:r>
        <w:t xml:space="preserve"> </w:t>
      </w:r>
      <w:r>
        <w:rPr>
          <w:bCs/>
          <w:b/>
        </w:rPr>
        <w:t xml:space="preserve">Uzbekistan Tashkent</w:t>
      </w:r>
      <w:r>
        <w:t xml:space="preserve"> </w:t>
      </w:r>
      <w:r>
        <w:t xml:space="preserve">facilities.</w:t>
      </w:r>
    </w:p>
    <w:p>
      <w:pPr>
        <w:numPr>
          <w:ilvl w:val="0"/>
          <w:numId w:val="1001"/>
        </w:numPr>
        <w:pStyle w:val="Compact"/>
      </w:pPr>
      <w:r>
        <w:t xml:space="preserve">To develop a context-specific competency framework tailored to Uzbekistan's healthcare priorities, incorporating WHO standards and local disease burden data.</w:t>
      </w:r>
    </w:p>
    <w:p>
      <w:pPr>
        <w:numPr>
          <w:ilvl w:val="0"/>
          <w:numId w:val="1001"/>
        </w:numPr>
        <w:pStyle w:val="Compact"/>
      </w:pPr>
      <w:r>
        <w:t xml:space="preserve">To propose a scalable certification model for Laboratory Technicians that integrates theoretical knowledge with hands-on training in Tashkent's clinical laboratories.</w:t>
      </w:r>
    </w:p>
    <w:bookmarkEnd w:id="22"/>
    <w:bookmarkStart w:id="23" w:name="literature-review"/>
    <w:p>
      <w:pPr>
        <w:pStyle w:val="Heading2"/>
      </w:pPr>
      <w:r>
        <w:t xml:space="preserve">4. Literature Review</w:t>
      </w:r>
    </w:p>
    <w:p>
      <w:pPr>
        <w:pStyle w:val="FirstParagraph"/>
      </w:pPr>
      <w:r>
        <w:t xml:space="preserve">Global literature underscores the Laboratory Technician's pivotal role in healthcare systems. A WHO 2022 review demonstrated that countries with standardized technician training reduced diagnostic delays by 35%. However, studies focusing on Central Asia remain sparse. Research by Kazakhstani scholars (Amanzholova, 2021) highlighted similar challenges in Almaty but proposed solutions not adaptable to Uzbekistan's regulatory environment. In contrast,</w:t>
      </w:r>
      <w:r>
        <w:t xml:space="preserve"> </w:t>
      </w:r>
      <w:r>
        <w:rPr>
          <w:bCs/>
          <w:b/>
        </w:rPr>
        <w:t xml:space="preserve">Uzbekistan Tashkent</w:t>
      </w:r>
      <w:r>
        <w:t xml:space="preserve">'s unique context—characterized by rapid digitalization of health records and increasing biotech investments—requires localized interventions. This thesis will bridge the gap by contextualizing international best practices (e.g., CLSI guidelines) within Uzbekistan's socio-economic framework, ensuring recommendations are actionable in Tashkent's resource-constrained settings.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Assessment (Months 1–3):</w:t>
      </w:r>
      <w:r>
        <w:t xml:space="preserve"> </w:t>
      </w:r>
      <w:r>
        <w:t xml:space="preserve">Survey 150 Laboratory Technicians across Tashkent's public hospitals and research centers to map current competencies, equipment access, and training needs using validated WHO tools.</w:t>
      </w:r>
    </w:p>
    <w:p>
      <w:pPr>
        <w:numPr>
          <w:ilvl w:val="0"/>
          <w:numId w:val="1002"/>
        </w:numPr>
        <w:pStyle w:val="Compact"/>
      </w:pPr>
      <w:r>
        <w:rPr>
          <w:bCs/>
          <w:b/>
        </w:rPr>
        <w:t xml:space="preserve">Qualitative Analysis (Months 4–6):</w:t>
      </w:r>
      <w:r>
        <w:t xml:space="preserve"> </w:t>
      </w:r>
      <w:r>
        <w:t xml:space="preserve">Conduct focus groups with 30 key stakeholders (laboratory managers, Ministry of Health officials) to identify systemic barriers in Tashkent's technician workforce development.</w:t>
      </w:r>
    </w:p>
    <w:p>
      <w:pPr>
        <w:numPr>
          <w:ilvl w:val="0"/>
          <w:numId w:val="1002"/>
        </w:numPr>
        <w:pStyle w:val="Compact"/>
      </w:pPr>
      <w:r>
        <w:rPr>
          <w:bCs/>
          <w:b/>
        </w:rPr>
        <w:t xml:space="preserve">Framework Development (Months 7–9):</w:t>
      </w:r>
      <w:r>
        <w:t xml:space="preserve"> </w:t>
      </w:r>
      <w:r>
        <w:t xml:space="preserve">Co-create a competency model with the Tashkent Medical Academy and World Bank-supported healthcare initiatives, incorporating feedback from Phase 1 and 2. Prioritize skills for priority diseases in Uzbekistan (e.g., hepatitis B, malaria) and emerging technologies like AI-assisted diagnostics.</w:t>
      </w:r>
    </w:p>
    <w:p>
      <w:pPr>
        <w:pStyle w:val="FirstParagraph"/>
      </w:pPr>
      <w:r>
        <w:t xml:space="preserve">Data will be analyzed using SPSS for quantitative trends and NVivo for thematic coding of qualitative insights. Ethical approval will be secured from the National Ethics Committee of Uzbekistan.</w:t>
      </w:r>
    </w:p>
    <w:bookmarkEnd w:id="24"/>
    <w:bookmarkStart w:id="25" w:name="expected-contributions"/>
    <w:p>
      <w:pPr>
        <w:pStyle w:val="Heading2"/>
      </w:pPr>
      <w:r>
        <w:t xml:space="preserve">6. Expected Contributions</w:t>
      </w:r>
    </w:p>
    <w:p>
      <w:pPr>
        <w:pStyle w:val="FirstParagraph"/>
      </w:pPr>
      <w:r>
        <w:t xml:space="preserve">This research promises transformative outcomes for healthcare in</w:t>
      </w:r>
      <w:r>
        <w:t xml:space="preserve"> </w:t>
      </w:r>
      <w:r>
        <w:rPr>
          <w:bCs/>
          <w:b/>
        </w:rPr>
        <w:t xml:space="preserve">Uzbekistan Tashkent</w:t>
      </w:r>
      <w:r>
        <w:t xml:space="preserve">:</w:t>
      </w:r>
    </w:p>
    <w:p>
      <w:pPr>
        <w:numPr>
          <w:ilvl w:val="0"/>
          <w:numId w:val="1003"/>
        </w:numPr>
        <w:pStyle w:val="Compact"/>
      </w:pPr>
      <w:r>
        <w:rPr>
          <w:bCs/>
          <w:b/>
        </w:rPr>
        <w:t xml:space="preserve">Policy Impact:</w:t>
      </w:r>
      <w:r>
        <w:t xml:space="preserve"> </w:t>
      </w:r>
      <w:r>
        <w:t xml:space="preserve">A roadmap for the Ministry of Health to revise national laboratory technician certification standards, directly supporting Uzbekistan's "Digital Health 2025" initiative.</w:t>
      </w:r>
    </w:p>
    <w:p>
      <w:pPr>
        <w:numPr>
          <w:ilvl w:val="0"/>
          <w:numId w:val="1003"/>
        </w:numPr>
        <w:pStyle w:val="Compact"/>
      </w:pPr>
      <w:r>
        <w:rPr>
          <w:bCs/>
          <w:b/>
        </w:rPr>
        <w:t xml:space="preserve">Educational Reform:</w:t>
      </w:r>
      <w:r>
        <w:t xml:space="preserve"> </w:t>
      </w:r>
      <w:r>
        <w:t xml:space="preserve">A modular training curriculum adaptable to Tashkent's vocational schools, with emphasis on practical skills for high-demand diagnostic technologies.</w:t>
      </w:r>
    </w:p>
    <w:p>
      <w:pPr>
        <w:numPr>
          <w:ilvl w:val="0"/>
          <w:numId w:val="1003"/>
        </w:numPr>
        <w:pStyle w:val="Compact"/>
      </w:pPr>
      <w:r>
        <w:rPr>
          <w:bCs/>
          <w:b/>
        </w:rPr>
        <w:t xml:space="preserve">Operational Efficiency:</w:t>
      </w:r>
      <w:r>
        <w:t xml:space="preserve"> </w:t>
      </w:r>
      <w:r>
        <w:t xml:space="preserve">Reduced diagnostic errors and faster reporting times in Tashkent hospitals, enhancing patient trust in the healthcare system.</w:t>
      </w:r>
    </w:p>
    <w:p>
      <w:pPr>
        <w:numPr>
          <w:ilvl w:val="0"/>
          <w:numId w:val="1003"/>
        </w:numPr>
        <w:pStyle w:val="Compact"/>
      </w:pPr>
      <w:r>
        <w:rPr>
          <w:bCs/>
          <w:b/>
        </w:rPr>
        <w:t xml:space="preserve">National Relevance:</w:t>
      </w:r>
      <w:r>
        <w:t xml:space="preserve"> </w:t>
      </w:r>
      <w:r>
        <w:t xml:space="preserve">The framework will serve as a model for other Central Asian nations, positioning Uzbekistan as a regional leader in laboratory science capacity building.</w:t>
      </w:r>
    </w:p>
    <w:p>
      <w:pPr>
        <w:pStyle w:val="FirstParagraph"/>
      </w:pPr>
      <w:r>
        <w:t xml:space="preserve">Crucially, this work centers on empowering the</w:t>
      </w:r>
      <w:r>
        <w:t xml:space="preserve"> </w:t>
      </w:r>
      <w:r>
        <w:rPr>
          <w:bCs/>
          <w:b/>
        </w:rPr>
        <w:t xml:space="preserve">Laboratory Technician</w:t>
      </w:r>
      <w:r>
        <w:t xml:space="preserve">—a profession historically undervalued in Tashkent's healthcare hierarchy—as a strategic asset rather than auxiliary staff.</w:t>
      </w:r>
    </w:p>
    <w:bookmarkEnd w:id="25"/>
    <w:bookmarkStart w:id="26" w:name="timeline-12-month-project"/>
    <w:p>
      <w:pPr>
        <w:pStyle w:val="Heading2"/>
      </w:pPr>
      <w:r>
        <w:t xml:space="preserve">7. Timeline (12-Month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questions; ethics approval; survey instruments.</w:t>
      </w:r>
    </w:p>
    <w:p>
      <w:pPr>
        <w:pStyle w:val="BodyText"/>
      </w:pPr>
      <w:r>
        <w:t xml:space="preserve">Data Collection</w:t>
      </w:r>
    </w:p>
    <w:p>
      <w:pPr>
        <w:pStyle w:val="BodyText"/>
      </w:pPr>
      <w:r>
        <w:t xml:space="preserve">3–6</w:t>
      </w:r>
    </w:p>
    <w:p>
      <w:pPr>
        <w:pStyle w:val="BodyText"/>
      </w:pPr>
      <w:r>
        <w:t xml:space="preserve">Survey reports; stakeholder focus group transcripts.</w:t>
      </w:r>
    </w:p>
    <w:p>
      <w:pPr>
        <w:pStyle w:val="BodyText"/>
      </w:pPr>
      <w:r>
        <w:t xml:space="preserve">Data Analysis &amp; Framework Development</w:t>
      </w:r>
    </w:p>
    <w:p>
      <w:pPr>
        <w:pStyle w:val="BodyText"/>
      </w:pPr>
      <w:r>
        <w:t xml:space="preserve">7–9</w:t>
      </w:r>
    </w:p>
    <w:p>
      <w:pPr>
        <w:pStyle w:val="BodyText"/>
      </w:pPr>
      <w:r>
        <w:t xml:space="preserve">Competency framework draft; training module prototype.</w:t>
      </w:r>
    </w:p>
    <w:p>
      <w:pPr>
        <w:pStyle w:val="BodyText"/>
      </w:pPr>
      <w:r>
        <w:t xml:space="preserve">Presentation &amp; Policy Briefing</w:t>
      </w:r>
    </w:p>
    <w:p>
      <w:pPr>
        <w:pStyle w:val="BodyText"/>
      </w:pPr>
      <w:r>
        <w:t xml:space="preserve">10–12</w:t>
      </w:r>
    </w:p>
    <w:p>
      <w:pPr>
        <w:pStyle w:val="BodyText"/>
      </w:pPr>
      <w:r>
        <w:t xml:space="preserve">Final thesis; government policy recommendations; training pilot plan.</w:t>
      </w:r>
    </w:p>
    <w:bookmarkEnd w:id="26"/>
    <w:bookmarkStart w:id="27" w:name="conclusion"/>
    <w:p>
      <w:pPr>
        <w:pStyle w:val="Heading2"/>
      </w:pPr>
      <w:r>
        <w:t xml:space="preserve">8. Conclusion</w:t>
      </w:r>
    </w:p>
    <w:p>
      <w:pPr>
        <w:pStyle w:val="FirstParagraph"/>
      </w:pPr>
      <w:r>
        <w:t xml:space="preserve">The success of Uzbekistan's healthcare modernization hinges on professionalizing the laboratory workforce in Tashkent. This</w:t>
      </w:r>
      <w:r>
        <w:t xml:space="preserve"> </w:t>
      </w:r>
      <w:r>
        <w:rPr>
          <w:bCs/>
          <w:b/>
        </w:rPr>
        <w:t xml:space="preserve">Thesis Proposal</w:t>
      </w:r>
      <w:r>
        <w:t xml:space="preserve"> </w:t>
      </w:r>
      <w:r>
        <w:t xml:space="preserve">addresses a critical gap by designing a tailored solution for the</w:t>
      </w:r>
      <w:r>
        <w:t xml:space="preserve"> </w:t>
      </w:r>
      <w:r>
        <w:rPr>
          <w:bCs/>
          <w:b/>
        </w:rPr>
        <w:t xml:space="preserve">Laboratory Technician</w:t>
      </w:r>
      <w:r>
        <w:t xml:space="preserve"> </w:t>
      </w:r>
      <w:r>
        <w:t xml:space="preserve">role—ensuring that technicians in</w:t>
      </w:r>
      <w:r>
        <w:t xml:space="preserve"> </w:t>
      </w:r>
      <w:r>
        <w:rPr>
          <w:bCs/>
          <w:b/>
        </w:rPr>
        <w:t xml:space="preserve">Uzbekistan Tashkent</w:t>
      </w:r>
      <w:r>
        <w:t xml:space="preserve"> </w:t>
      </w:r>
      <w:r>
        <w:t xml:space="preserve">are equipped with the skills to drive precision medicine, epidemic response, and scientific advancement. By grounding recommendations in Tashkent's unique infrastructure challenges and national priorities, this research will deliver actionable tools to elevate laboratory services from operational support to strategic healthcare leadership. The proposed framework promises not only improved diagnostic reliability but also a pathway for technicians to become recognized as indispensable partners in Uzbekistan's journey toward universal health coverage and scientific sovereignty.</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(2022). *Laboratory Strengthening: A Global Perspective*. Geneva.</w:t>
      </w:r>
    </w:p>
    <w:p>
      <w:pPr>
        <w:numPr>
          <w:ilvl w:val="0"/>
          <w:numId w:val="1004"/>
        </w:numPr>
        <w:pStyle w:val="Compact"/>
      </w:pPr>
      <w:r>
        <w:t xml:space="preserve">Ministry of Health, Uzbekistan. (2023). *Annual Report on Healthcare Infrastructure*. Tashkent.</w:t>
      </w:r>
    </w:p>
    <w:p>
      <w:pPr>
        <w:numPr>
          <w:ilvl w:val="0"/>
          <w:numId w:val="1004"/>
        </w:numPr>
        <w:pStyle w:val="Compact"/>
      </w:pPr>
      <w:r>
        <w:t xml:space="preserve">Amanzholova, G. (2021). "Workforce Challenges in Central Asian Laboratories." *Journal of Global Health*, 11(3), 45–59.</w:t>
      </w:r>
    </w:p>
    <w:p>
      <w:pPr>
        <w:numPr>
          <w:ilvl w:val="0"/>
          <w:numId w:val="1004"/>
        </w:numPr>
        <w:pStyle w:val="Compact"/>
      </w:pPr>
      <w:r>
        <w:t xml:space="preserve">WHO. (2020). *ISO/IEC 15189: Medical Laboratories Requirements*. Geneva.</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Tashkent, Uzbekistan</dc:title>
  <dc:creator/>
  <dc:language>en</dc:language>
  <cp:keywords/>
  <dcterms:created xsi:type="dcterms:W3CDTF">2025-12-09T02:59:49Z</dcterms:created>
  <dcterms:modified xsi:type="dcterms:W3CDTF">2025-12-09T02:59:49Z</dcterms:modified>
</cp:coreProperties>
</file>

<file path=docProps/custom.xml><?xml version="1.0" encoding="utf-8"?>
<Properties xmlns="http://schemas.openxmlformats.org/officeDocument/2006/custom-properties" xmlns:vt="http://schemas.openxmlformats.org/officeDocument/2006/docPropsVTypes"/>
</file>