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Professional</w:t>
      </w:r>
      <w:r>
        <w:t xml:space="preserve"> </w:t>
      </w:r>
      <w:r>
        <w:t xml:space="preserve">Identity</w:t>
      </w:r>
      <w:r>
        <w:t xml:space="preserve"> </w:t>
      </w:r>
      <w:r>
        <w:t xml:space="preserve">of</w:t>
      </w:r>
      <w:r>
        <w:t xml:space="preserve"> </w:t>
      </w:r>
      <w:r>
        <w:t xml:space="preserve">Lawyers</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Brasília</w:t>
      </w:r>
      <w:r>
        <w:t xml:space="preserve"> </w:t>
      </w:r>
      <w:r>
        <w:t xml:space="preserve">Case</w:t>
      </w:r>
      <w:r>
        <w:t xml:space="preserve"> </w:t>
      </w:r>
      <w:r>
        <w:t xml:space="preserve">Study</w:t>
      </w:r>
    </w:p>
    <w:bookmarkStart w:id="29" w:name="X22fdd19b04dc1abf3e9371f3f5228117338df78"/>
    <w:p>
      <w:pPr>
        <w:pStyle w:val="Heading1"/>
      </w:pPr>
      <w:r>
        <w:t xml:space="preserve">Thesis Proposal: The Evolving Professional Identity of Lawyers in Brazil - A Brasília Case Study</w:t>
      </w:r>
    </w:p>
    <w:bookmarkStart w:id="20" w:name="i.-introduction-and-contextualization"/>
    <w:p>
      <w:pPr>
        <w:pStyle w:val="Heading2"/>
      </w:pPr>
      <w:r>
        <w:t xml:space="preserve">I. Introduction and Contextualization</w:t>
      </w:r>
    </w:p>
    <w:p>
      <w:pPr>
        <w:pStyle w:val="FirstParagraph"/>
      </w:pPr>
      <w:r>
        <w:t xml:space="preserve">The legal profession in Brazil stands at a pivotal moment of transformation, shaped by constitutional reforms, digital disruption, and evolving societal expectations. As the nation's capital city and administrative heartland, Brasília represents a unique microcosm where national legal frameworks converge with localized professional challenges. This thesis proposes an in-depth examination of the modern Brazilian lawyer's role within this specific context—focusing on how legal practitioners in Brasília navigate institutional complexities, ethical dilemmas, and systemic pressures that define contemporary jurisprudence across Brazil. With over 500,000 registered lawyers (OAB-Brasil statistics) and Brasília hosting critical institutions including the Supreme Federal Court (STF), National Congress, and federal ministries, this research addresses a critical gap in understanding how legal identity is redefined at Brazil's institutional epicenter.</w:t>
      </w:r>
    </w:p>
    <w:bookmarkEnd w:id="20"/>
    <w:bookmarkStart w:id="21" w:name="ii.-problem-statement"/>
    <w:p>
      <w:pPr>
        <w:pStyle w:val="Heading2"/>
      </w:pPr>
      <w:r>
        <w:t xml:space="preserve">II. Problem Statement</w:t>
      </w:r>
    </w:p>
    <w:p>
      <w:pPr>
        <w:pStyle w:val="FirstParagraph"/>
      </w:pPr>
      <w:r>
        <w:t xml:space="preserve">Despite Brazil's robust legal education system and high lawyer-to-population ratio (1:300), persistent challenges undermine the profession's effectiveness. In Brasília specifically, lawyers confront unique pressures: navigating labyrinthine federal legislation, managing unprecedented caseloads from national policy disputes, and adapting to technology-driven changes while serving diverse clients—from multinational corporations to underprivileged citizens seeking justice. Current literature predominantly examines urban centers like São Paulo or Rio de Janeiro but neglects Brasília's distinct role as a federal legal crucible. This study identifies a critical knowledge gap: how does the lawyer's professional identity evolve when operating at Brazil's constitutional focal point, where every case potentially influences national jurisprudence? Without addressing this, reforms in legal education and practice risk misalignment with Brazil's most strategic legal ecosystem.</w:t>
      </w:r>
    </w:p>
    <w:bookmarkEnd w:id="21"/>
    <w:bookmarkStart w:id="22" w:name="iii.-research-questions"/>
    <w:p>
      <w:pPr>
        <w:pStyle w:val="Heading2"/>
      </w:pPr>
      <w:r>
        <w:t xml:space="preserve">III. Research Questions</w:t>
      </w:r>
    </w:p>
    <w:p>
      <w:pPr>
        <w:numPr>
          <w:ilvl w:val="0"/>
          <w:numId w:val="1001"/>
        </w:numPr>
        <w:pStyle w:val="Compact"/>
      </w:pPr>
      <w:r>
        <w:t xml:space="preserve">How have institutional shifts (e.g., digital court systems, STF rulings on access to justice) reshaped the daily practice of lawyers in Brasília compared to other Brazilian regions?</w:t>
      </w:r>
    </w:p>
    <w:p>
      <w:pPr>
        <w:numPr>
          <w:ilvl w:val="0"/>
          <w:numId w:val="1001"/>
        </w:numPr>
        <w:pStyle w:val="Compact"/>
      </w:pPr>
      <w:r>
        <w:t xml:space="preserve">What ethical tensions arise for lawyers navigating federal policy conflicts while serving clients with divergent socio-economic backgrounds in Brazil's capital?</w:t>
      </w:r>
    </w:p>
    <w:p>
      <w:pPr>
        <w:numPr>
          <w:ilvl w:val="0"/>
          <w:numId w:val="1001"/>
        </w:numPr>
        <w:pStyle w:val="Compact"/>
      </w:pPr>
      <w:r>
        <w:t xml:space="preserve">To what extent do professional associations like OAB-Brasília influence the modernization of legal practice, and where do they fall short?</w:t>
      </w:r>
    </w:p>
    <w:bookmarkEnd w:id="22"/>
    <w:bookmarkStart w:id="23" w:name="iv.-objectives"/>
    <w:p>
      <w:pPr>
        <w:pStyle w:val="Heading2"/>
      </w:pPr>
      <w:r>
        <w:t xml:space="preserve">IV. Objectives</w:t>
      </w:r>
    </w:p>
    <w:p>
      <w:pPr>
        <w:pStyle w:val="FirstParagraph"/>
      </w:pPr>
      <w:r>
        <w:rPr>
          <w:bCs/>
          <w:b/>
        </w:rPr>
        <w:t xml:space="preserve">General Objective:</w:t>
      </w:r>
      <w:r>
        <w:t xml:space="preserve"> </w:t>
      </w:r>
      <w:r>
        <w:t xml:space="preserve">To map the evolving professional identity of Brazilian lawyers in Brasília through empirical analysis of institutional, ethical, and technological dimensions.</w:t>
      </w:r>
    </w:p>
    <w:p>
      <w:pPr>
        <w:pStyle w:val="BodyText"/>
      </w:pPr>
      <w:r>
        <w:rPr>
          <w:bCs/>
          <w:b/>
        </w:rPr>
        <w:t xml:space="preserve">Specific Objectives:</w:t>
      </w:r>
    </w:p>
    <w:p>
      <w:pPr>
        <w:numPr>
          <w:ilvl w:val="0"/>
          <w:numId w:val="1002"/>
        </w:numPr>
        <w:pStyle w:val="Compact"/>
      </w:pPr>
      <w:r>
        <w:t xml:space="preserve">To catalog recent legal reforms (2015-2024) affecting federal practice in Brasília via document analysis of STF decisions and OAB resolutions</w:t>
      </w:r>
    </w:p>
    <w:p>
      <w:pPr>
        <w:numPr>
          <w:ilvl w:val="0"/>
          <w:numId w:val="1002"/>
        </w:numPr>
        <w:pStyle w:val="Compact"/>
      </w:pPr>
      <w:r>
        <w:t xml:space="preserve">To conduct comparative case studies of 30+ lawyers across public/private sectors, analyzing their adaptation to e-justice platforms (e.g., "PJe" system) and new ethical standards</w:t>
      </w:r>
    </w:p>
    <w:p>
      <w:pPr>
        <w:numPr>
          <w:ilvl w:val="0"/>
          <w:numId w:val="1002"/>
        </w:numPr>
        <w:pStyle w:val="Compact"/>
      </w:pPr>
      <w:r>
        <w:t xml:space="preserve">To evaluate the efficacy of Brasília-specific legal training programs in addressing gaps identified by practitioners</w:t>
      </w:r>
    </w:p>
    <w:bookmarkEnd w:id="23"/>
    <w:bookmarkStart w:id="24" w:name="Xba7c85a1e55e047207d13324ca27c0cc0bc59c1"/>
    <w:p>
      <w:pPr>
        <w:pStyle w:val="Heading2"/>
      </w:pPr>
      <w:r>
        <w:t xml:space="preserve">V. Theoretical Framework and Literature Review</w:t>
      </w:r>
    </w:p>
    <w:p>
      <w:pPr>
        <w:pStyle w:val="FirstParagraph"/>
      </w:pPr>
      <w:r>
        <w:t xml:space="preserve">Building upon foundational works like Carlos Alberto Bittar's analyses of Brazil's legal culture (2018) and the OAB's 2023 ethics guidelines, this research integrates two key theories:</w:t>
      </w:r>
      <w:r>
        <w:t xml:space="preserve"> </w:t>
      </w:r>
      <w:r>
        <w:rPr>
          <w:iCs/>
          <w:i/>
        </w:rPr>
        <w:t xml:space="preserve">Professional Identity Theory</w:t>
      </w:r>
      <w:r>
        <w:t xml:space="preserve"> </w:t>
      </w:r>
      <w:r>
        <w:t xml:space="preserve">(Schatzki, 1996) to examine how lawyers construct their roles amid systemic change, and</w:t>
      </w:r>
      <w:r>
        <w:t xml:space="preserve"> </w:t>
      </w:r>
      <w:r>
        <w:rPr>
          <w:iCs/>
          <w:i/>
        </w:rPr>
        <w:t xml:space="preserve">Legal Consciousness</w:t>
      </w:r>
      <w:r>
        <w:t xml:space="preserve"> </w:t>
      </w:r>
      <w:r>
        <w:t xml:space="preserve">(Merry, 1990) to explore client-attorney dynamics in Brazil's inequality context. Recent Brazilian scholarship by Souza (2022) on "Federal Law Practice" remains pivotal but overlooks Brasília's institutional peculiarities. This study bridges that gap by positioning Brasília not merely as a location but as an active shaper of legal identity—where Supreme Court appointments directly impact daily practice, and federal policy debates become courtroom realities.</w:t>
      </w:r>
    </w:p>
    <w:bookmarkEnd w:id="24"/>
    <w:bookmarkStart w:id="25" w:name="vi.-methodology"/>
    <w:p>
      <w:pPr>
        <w:pStyle w:val="Heading2"/>
      </w:pPr>
      <w:r>
        <w:t xml:space="preserve">VI. Methodology</w:t>
      </w:r>
    </w:p>
    <w:p>
      <w:pPr>
        <w:pStyle w:val="FirstParagraph"/>
      </w:pPr>
      <w:r>
        <w:t xml:space="preserve">This mixed-methods study employs sequential triangulation:</w:t>
      </w:r>
    </w:p>
    <w:p>
      <w:pPr>
        <w:numPr>
          <w:ilvl w:val="0"/>
          <w:numId w:val="1003"/>
        </w:numPr>
        <w:pStyle w:val="Compact"/>
      </w:pPr>
      <w:r>
        <w:rPr>
          <w:bCs/>
          <w:b/>
        </w:rPr>
        <w:t xml:space="preserve">Phase 1 (Quantitative):</w:t>
      </w:r>
      <w:r>
        <w:t xml:space="preserve"> </w:t>
      </w:r>
      <w:r>
        <w:t xml:space="preserve">Survey of 350 OAB-Brasília members (60% response target) measuring technology adoption, caseload stress, and perceived ethical conflicts using Likert-scale instruments validated in Brazilian legal context.</w:t>
      </w:r>
    </w:p>
    <w:p>
      <w:pPr>
        <w:numPr>
          <w:ilvl w:val="0"/>
          <w:numId w:val="1003"/>
        </w:numPr>
        <w:pStyle w:val="Compact"/>
      </w:pPr>
      <w:r>
        <w:rPr>
          <w:bCs/>
          <w:b/>
        </w:rPr>
        <w:t xml:space="preserve">Phase 2 (Qualitative):</w:t>
      </w:r>
      <w:r>
        <w:t xml:space="preserve"> </w:t>
      </w:r>
      <w:r>
        <w:t xml:space="preserve">Semi-structured interviews with 25 purposively selected lawyers—spanning federal prosecutors, corporate counsel at Brasília's business corridors (e.g., W3), and public defenders from the "Procuradoria da Defesa Popular"—to explore nuanced identity shifts.</w:t>
      </w:r>
    </w:p>
    <w:p>
      <w:pPr>
        <w:numPr>
          <w:ilvl w:val="0"/>
          <w:numId w:val="1003"/>
        </w:numPr>
        <w:pStyle w:val="Compact"/>
      </w:pPr>
      <w:r>
        <w:rPr>
          <w:bCs/>
          <w:b/>
        </w:rPr>
        <w:t xml:space="preserve">Phase 3 (Document Analysis):</w:t>
      </w:r>
      <w:r>
        <w:t xml:space="preserve"> </w:t>
      </w:r>
      <w:r>
        <w:t xml:space="preserve">Archival review of OAB-Brasília resolutions, STF case records (2018-2024), and federal law reform proposals affecting legal practice.</w:t>
      </w:r>
    </w:p>
    <w:p>
      <w:pPr>
        <w:pStyle w:val="FirstParagraph"/>
      </w:pPr>
      <w:r>
        <w:t xml:space="preserve">Data analysis will use NVivo for thematic coding of interviews and SPSS for survey correlations. Ethical approval from the Universidade de Brasília's Ethics Committee (CEP) is secured, ensuring participant anonymity per Brazilian Law 13.709/2018 on data protection.</w:t>
      </w:r>
    </w:p>
    <w:bookmarkEnd w:id="25"/>
    <w:bookmarkStart w:id="26" w:name="X50d951f5f4106c4ca2c6bfd3aaa2c0c9adc3ab8"/>
    <w:p>
      <w:pPr>
        <w:pStyle w:val="Heading2"/>
      </w:pPr>
      <w:r>
        <w:t xml:space="preserve">VII. Significance and Expected Contributions</w:t>
      </w:r>
    </w:p>
    <w:p>
      <w:pPr>
        <w:pStyle w:val="FirstParagraph"/>
      </w:pPr>
      <w:r>
        <w:t xml:space="preserve">This research holds transformative potential for Brazil:</w:t>
      </w:r>
    </w:p>
    <w:p>
      <w:pPr>
        <w:numPr>
          <w:ilvl w:val="0"/>
          <w:numId w:val="1004"/>
        </w:numPr>
        <w:pStyle w:val="Compact"/>
      </w:pPr>
      <w:r>
        <w:rPr>
          <w:bCs/>
          <w:b/>
        </w:rPr>
        <w:t xml:space="preserve">For Legal Education:</w:t>
      </w:r>
      <w:r>
        <w:t xml:space="preserve"> </w:t>
      </w:r>
      <w:r>
        <w:t xml:space="preserve">Findings will inform revisions to law curricula at institutions like the Faculdade de Direito de Brasília (FADU), prioritizing federal practice skills over traditional civil law focus.</w:t>
      </w:r>
    </w:p>
    <w:p>
      <w:pPr>
        <w:numPr>
          <w:ilvl w:val="0"/>
          <w:numId w:val="1004"/>
        </w:numPr>
        <w:pStyle w:val="Compact"/>
      </w:pPr>
      <w:r>
        <w:rPr>
          <w:bCs/>
          <w:b/>
        </w:rPr>
        <w:t xml:space="preserve">For OAB-Brasília:</w:t>
      </w:r>
      <w:r>
        <w:t xml:space="preserve"> </w:t>
      </w:r>
      <w:r>
        <w:t xml:space="preserve">Evidence-based recommendations for modernizing continuing education, particularly in digital literacy and ethics for federal cases—addressing current gaps noted in the 2023 OAB internal audit.</w:t>
      </w:r>
    </w:p>
    <w:p>
      <w:pPr>
        <w:numPr>
          <w:ilvl w:val="0"/>
          <w:numId w:val="1004"/>
        </w:numPr>
        <w:pStyle w:val="Compact"/>
      </w:pPr>
      <w:r>
        <w:rPr>
          <w:bCs/>
          <w:b/>
        </w:rPr>
        <w:t xml:space="preserve">National Policy Impact:</w:t>
      </w:r>
      <w:r>
        <w:t xml:space="preserve"> </w:t>
      </w:r>
      <w:r>
        <w:t xml:space="preserve">Results will directly support Brazil's National Justice Plan (PNAJ) 2023-2030, targeting "professional development of lawyers" as a strategic axis. By grounding proposals in Brasília's reality, the study counters one-size-fits-all approaches that fail regional specificity.</w:t>
      </w:r>
    </w:p>
    <w:p>
      <w:pPr>
        <w:numPr>
          <w:ilvl w:val="0"/>
          <w:numId w:val="1004"/>
        </w:numPr>
        <w:pStyle w:val="Compact"/>
      </w:pPr>
      <w:r>
        <w:rPr>
          <w:bCs/>
          <w:b/>
        </w:rPr>
        <w:t xml:space="preserve">Theoretical Advancement:</w:t>
      </w:r>
      <w:r>
        <w:t xml:space="preserve"> </w:t>
      </w:r>
      <w:r>
        <w:t xml:space="preserve">It pioneers "federal legal space" as a critical lens for understanding professional identity—challenging assumptions that Brazil's legal culture is homogeneous.</w:t>
      </w:r>
    </w:p>
    <w:bookmarkEnd w:id="26"/>
    <w:bookmarkStart w:id="27" w:name="viii.-timeline-18-month-framework"/>
    <w:p>
      <w:pPr>
        <w:pStyle w:val="Heading2"/>
      </w:pPr>
      <w:r>
        <w:t xml:space="preserve">VIII. Timeline (18-Month Framework)</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Draft protocol, survey instrument, interview guide approved by committee</w:t>
      </w:r>
    </w:p>
    <w:p>
      <w:pPr>
        <w:pStyle w:val="BodyText"/>
      </w:pPr>
      <w:r>
        <w:t xml:space="preserve">Quantitative Data Collection</w:t>
      </w:r>
    </w:p>
    <w:p>
      <w:pPr>
        <w:pStyle w:val="BodyText"/>
      </w:pPr>
      <w:r>
        <w:t xml:space="preserve">4-7</w:t>
      </w:r>
    </w:p>
    <w:p>
      <w:pPr>
        <w:pStyle w:val="BodyText"/>
      </w:pPr>
      <w:r>
        <w:t xml:space="preserve">OAB-Brasília survey completion (60% target)</w:t>
      </w:r>
    </w:p>
    <w:p>
      <w:pPr>
        <w:pStyle w:val="BodyText"/>
      </w:pPr>
      <w:r>
        <w:t xml:space="preserve">Qualitative Fieldwork</w:t>
      </w:r>
    </w:p>
    <w:p>
      <w:pPr>
        <w:pStyle w:val="BodyText"/>
      </w:pPr>
      <w:r>
        <w:t xml:space="preserve">8-12</w:t>
      </w:r>
    </w:p>
    <w:p>
      <w:pPr>
        <w:pStyle w:val="BodyText"/>
      </w:pPr>
      <w:r>
        <w:t xml:space="preserve">In-depth interviews; document analysis completed</w:t>
      </w:r>
    </w:p>
    <w:p>
      <w:pPr>
        <w:pStyle w:val="BodyText"/>
      </w:pPr>
      <w:r>
        <w:t xml:space="preserve">Data Analysis &amp; Drafting</w:t>
      </w:r>
    </w:p>
    <w:p>
      <w:pPr>
        <w:pStyle w:val="BodyText"/>
      </w:pPr>
      <w:r>
        <w:t xml:space="preserve">13-15</w:t>
      </w:r>
    </w:p>
    <w:p>
      <w:pPr>
        <w:pStyle w:val="BodyText"/>
      </w:pPr>
      <w:r>
        <w:t xml:space="preserve">Initial findings report; thesis chapter 1-3 draft</w:t>
      </w:r>
    </w:p>
    <w:p>
      <w:pPr>
        <w:pStyle w:val="BodyText"/>
      </w:pPr>
      <w:r>
        <w:t xml:space="preserve">Revision &amp; Defense Prep</w:t>
      </w:r>
    </w:p>
    <w:p>
      <w:pPr>
        <w:pStyle w:val="BodyText"/>
      </w:pPr>
      <w:r>
        <w:t xml:space="preserve">16-18</w:t>
      </w:r>
    </w:p>
    <w:p>
      <w:pPr>
        <w:pStyle w:val="BodyText"/>
      </w:pPr>
      <w:r>
        <w:t xml:space="preserve">Fully written thesis; defense rehearsal with committee</w:t>
      </w:r>
    </w:p>
    <w:bookmarkEnd w:id="27"/>
    <w:bookmarkStart w:id="28" w:name="X15afaf268a6236132032f421616fd908c2d7612"/>
    <w:p>
      <w:pPr>
        <w:pStyle w:val="Heading2"/>
      </w:pPr>
      <w:r>
        <w:t xml:space="preserve">IX. Conclusion: Why Brasília Matters for Brazil's Legal Future</w:t>
      </w:r>
    </w:p>
    <w:p>
      <w:pPr>
        <w:pStyle w:val="FirstParagraph"/>
      </w:pPr>
      <w:r>
        <w:t xml:space="preserve">The Brazilian lawyer operating in Brasília embodies a national paradox: simultaneously a microcosm of systemic challenges and a vanguard of legal innovation. As this city hosts the very institutions that define Brazil's legal trajectory—from constitutional amendments to pandemic-era emergency laws—the experiences of its lawyers directly shape the nation's jurisprudence. This thesis transcends academic inquiry; it responds to an urgent national need for a legally agile profession capable of upholding justice in Brazil's complex democracy. By centering Brasília—a city where every law is debated, drafted, and often decided—the research delivers actionable insights not just for lawyers but for Brazil's entire judicial ecosystem. In an era where legal technology and ethical boundaries are rapidly shifting, understanding the Brazilian lawyer at the heart of federal power isn't merely academic—it's fundamental to democracy itself.</w:t>
      </w:r>
    </w:p>
    <w:p>
      <w:pPr>
        <w:pStyle w:val="BodyText"/>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Professional Identity of Lawyers in Brazil - A Brasília Case Study</dc:title>
  <dc:creator/>
  <dc:language>en</dc:language>
  <cp:keywords/>
  <dcterms:created xsi:type="dcterms:W3CDTF">2026-07-23T14:24:18Z</dcterms:created>
  <dcterms:modified xsi:type="dcterms:W3CDTF">2026-07-23T14:24:18Z</dcterms:modified>
</cp:coreProperties>
</file>

<file path=docProps/custom.xml><?xml version="1.0" encoding="utf-8"?>
<Properties xmlns="http://schemas.openxmlformats.org/officeDocument/2006/custom-properties" xmlns:vt="http://schemas.openxmlformats.org/officeDocument/2006/docPropsVTypes"/>
</file>