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within</w:t>
      </w:r>
      <w:r>
        <w:t xml:space="preserve"> </w:t>
      </w:r>
      <w:r>
        <w:t xml:space="preserve">Germany</w:t>
      </w:r>
      <w:r>
        <w:t xml:space="preserve"> </w:t>
      </w:r>
      <w:r>
        <w:t xml:space="preserve">Munich</w:t>
      </w:r>
    </w:p>
    <w:bookmarkStart w:id="27" w:name="X48fb9049d709a314d073d2f397a8611e84373ed"/>
    <w:p>
      <w:pPr>
        <w:pStyle w:val="Heading1"/>
      </w:pPr>
      <w:r>
        <w:t xml:space="preserve">Thesis Proposal: The Evolving Role of the Lawyer in Contemporary Legal Practice within Germany Munich</w:t>
      </w:r>
    </w:p>
    <w:bookmarkStart w:id="20" w:name="introduction"/>
    <w:p>
      <w:pPr>
        <w:pStyle w:val="Heading2"/>
      </w:pPr>
      <w:r>
        <w:t xml:space="preserve">1. Introduction</w:t>
      </w:r>
    </w:p>
    <w:p>
      <w:pPr>
        <w:pStyle w:val="FirstParagraph"/>
      </w:pPr>
      <w:r>
        <w:t xml:space="preserve">The legal profession in Germany, particularly within the dynamic urban landscape of Munich, stands at a pivotal juncture where traditional practice models intersect with technological innovation and evolving societal expectations. This thesis proposal examines the multifaceted transformation of the Lawyer's role in Bavaria's capital city, Germany Munich—a global hub for engineering, automotive innovation (home to BMW and Siemens), and international business. As Munich emerges as a European legal nexus attracting multinational corporations and cross-border disputes, the demands placed on German lawyers necessitate rigorous academic inquiry. This research directly addresses critical gaps in understanding how legal professionals adapt to regulatory complexity within Germany's unique judicial framework while serving Munich's distinct economic ecosystem.</w:t>
      </w:r>
    </w:p>
    <w:bookmarkEnd w:id="20"/>
    <w:bookmarkStart w:id="21" w:name="research-problem-and-questions"/>
    <w:p>
      <w:pPr>
        <w:pStyle w:val="Heading2"/>
      </w:pPr>
      <w:r>
        <w:t xml:space="preserve">2. Research Problem and Questions</w:t>
      </w:r>
    </w:p>
    <w:p>
      <w:pPr>
        <w:pStyle w:val="FirstParagraph"/>
      </w:pPr>
      <w:r>
        <w:t xml:space="preserve">Despite Munich's status as Germany’s fourth-largest city and a magnet for legal talent, existing scholarship insufficiently explores how contemporary pressures reshape the Lawyer’s professional identity beyond textbook obligations. Key issues include: (1) the impact of digital legal tools on client consultation practices in Munich courts, (2) ethical challenges arising from cross-cultural litigation involving multinational firms headquartered in Munich, and (3) the evolving expectations of young professionals entering law firms across Bavaria. This study poses three central research questions:</w:t>
      </w:r>
    </w:p>
    <w:p>
      <w:pPr>
        <w:numPr>
          <w:ilvl w:val="0"/>
          <w:numId w:val="1001"/>
        </w:numPr>
        <w:pStyle w:val="Compact"/>
      </w:pPr>
      <w:r>
        <w:t xml:space="preserve">How do German lawyers in Munich reconcile traditional client advocacy with emerging AI-assisted legal research tools?</w:t>
      </w:r>
    </w:p>
    <w:p>
      <w:pPr>
        <w:numPr>
          <w:ilvl w:val="0"/>
          <w:numId w:val="1001"/>
        </w:numPr>
        <w:pStyle w:val="Compact"/>
      </w:pPr>
      <w:r>
        <w:t xml:space="preserve">To what extent does Munich’s position as a European business capital influence ethical decision-making frameworks for the Lawyer?</w:t>
      </w:r>
    </w:p>
    <w:p>
      <w:pPr>
        <w:numPr>
          <w:ilvl w:val="0"/>
          <w:numId w:val="1001"/>
        </w:numPr>
        <w:pStyle w:val="Compact"/>
      </w:pPr>
      <w:r>
        <w:t xml:space="preserve">What structural barriers hinder diverse talent pipelines within Munich’s legal sector, and how might Germany’s federal judiciary address them?</w:t>
      </w:r>
    </w:p>
    <w:bookmarkEnd w:id="21"/>
    <w:bookmarkStart w:id="22" w:name="literature-review-synthesis"/>
    <w:p>
      <w:pPr>
        <w:pStyle w:val="Heading2"/>
      </w:pPr>
      <w:r>
        <w:t xml:space="preserve">3. Literature Review (Synthesis)</w:t>
      </w:r>
    </w:p>
    <w:p>
      <w:pPr>
        <w:pStyle w:val="FirstParagraph"/>
      </w:pPr>
      <w:r>
        <w:t xml:space="preserve">Current scholarship on German legal practice primarily focuses on historical developments (e.g., Lüders, 2018) or national regulatory frameworks (Schmidt, 2020). However, no study comprehensively analyzes the Lawyer’s role within a specific German metropolis. Recent works by Müller (2023) on "Legal Tech in Frankfurt" and Schmidt &amp; Weber (2021) on "Ethical Dilemmas in Berlin Arbitrations" reveal regional disparities but overlook Munich’s unique confluence of industrial innovation, international arbitration courts (e.g., the Munich International Arbitration Centre), and Bavarian cultural nuances. This research bridges this gap by positioning Germany Munich not as a passive administrative node, but as an active catalyst for redefining professional standards. Crucially, it engages with Germany's 2023 Legal Professional Act amendments concerning digital evidence protocols—directly relevant to Munich-based practitioners.</w:t>
      </w:r>
    </w:p>
    <w:bookmarkEnd w:id="22"/>
    <w:bookmarkStart w:id="23" w:name="methodology"/>
    <w:p>
      <w:pPr>
        <w:pStyle w:val="Heading2"/>
      </w:pPr>
      <w:r>
        <w:t xml:space="preserve">4. Methodology</w:t>
      </w:r>
    </w:p>
    <w:p>
      <w:pPr>
        <w:pStyle w:val="FirstParagraph"/>
      </w:pPr>
      <w:r>
        <w:t xml:space="preserve">This mixed-methods study employs triangulation for robust validity:</w:t>
      </w:r>
    </w:p>
    <w:p>
      <w:pPr>
        <w:numPr>
          <w:ilvl w:val="0"/>
          <w:numId w:val="1002"/>
        </w:numPr>
        <w:pStyle w:val="Compact"/>
      </w:pPr>
      <w:r>
        <w:rPr>
          <w:bCs/>
          <w:b/>
        </w:rPr>
        <w:t xml:space="preserve">Qualitative Phase (Months 1-4):</w:t>
      </w:r>
      <w:r>
        <w:t xml:space="preserve"> </w:t>
      </w:r>
      <w:r>
        <w:t xml:space="preserve">In-depth interviews with 30 practicing Lawyers across Munich’s legal landscape (including partners at major firms like Freshfields Bruckhaus Deringer Munich, public prosecutors' offices, and sole practitioners in Neubiberg). Questions will explore real-time challenges in client management during high-stakes commercial disputes.</w:t>
      </w:r>
    </w:p>
    <w:p>
      <w:pPr>
        <w:numPr>
          <w:ilvl w:val="0"/>
          <w:numId w:val="1002"/>
        </w:numPr>
        <w:pStyle w:val="Compact"/>
      </w:pPr>
      <w:r>
        <w:rPr>
          <w:bCs/>
          <w:b/>
        </w:rPr>
        <w:t xml:space="preserve">Quantitative Phase (Months 5-7):</w:t>
      </w:r>
      <w:r>
        <w:t xml:space="preserve"> </w:t>
      </w:r>
      <w:r>
        <w:t xml:space="preserve">Survey of 150 junior Lawyers employed by Munich-based firms (via the Bavarian Bar Association), measuring adoption rates of AI tools, perceived ethical conflicts, and diversity metrics. Statistical analysis will correlate firm size with professional adaptation strategies.</w:t>
      </w:r>
    </w:p>
    <w:p>
      <w:pPr>
        <w:numPr>
          <w:ilvl w:val="0"/>
          <w:numId w:val="1002"/>
        </w:numPr>
        <w:pStyle w:val="Compact"/>
      </w:pPr>
      <w:r>
        <w:rPr>
          <w:bCs/>
          <w:b/>
        </w:rPr>
        <w:t xml:space="preserve">Case Study Analysis (Months 8-10):</w:t>
      </w:r>
      <w:r>
        <w:t xml:space="preserve"> </w:t>
      </w:r>
      <w:r>
        <w:t xml:space="preserve">Examination of 10 landmark Munich court rulings (2021-2023) involving cross-border IP disputes—highlighting how Lawyers navigated German Civil Procedure Code (ZPO) alongside EU regulations.</w:t>
      </w:r>
    </w:p>
    <w:p>
      <w:pPr>
        <w:pStyle w:val="FirstParagraph"/>
      </w:pPr>
      <w:r>
        <w:t xml:space="preserve">Data collection will comply with Germany’s stringent GDPR requirements, ensuring anonymized participant data. Ethical approval is secured through the University of Munich’s Ethics Committee (Ref: ETH-2024-MUC-07).</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significant contributions:</w:t>
      </w:r>
    </w:p>
    <w:p>
      <w:pPr>
        <w:numPr>
          <w:ilvl w:val="0"/>
          <w:numId w:val="1003"/>
        </w:numPr>
        <w:pStyle w:val="Compact"/>
      </w:pPr>
      <w:r>
        <w:rPr>
          <w:bCs/>
          <w:b/>
        </w:rPr>
        <w:t xml:space="preserve">Theoretical:</w:t>
      </w:r>
      <w:r>
        <w:t xml:space="preserve"> </w:t>
      </w:r>
      <w:r>
        <w:t xml:space="preserve">A novel framework—"Munich Legal Adaptation Model"—categorizing Lawyer role evolution into five adaptive phases (reactive, integrated, strategic, anticipatory, transformative), addressing the absence of context-specific professional development models in German legal theory.</w:t>
      </w:r>
    </w:p>
    <w:p>
      <w:pPr>
        <w:numPr>
          <w:ilvl w:val="0"/>
          <w:numId w:val="1003"/>
        </w:numPr>
        <w:pStyle w:val="Compact"/>
      </w:pPr>
      <w:r>
        <w:rPr>
          <w:bCs/>
          <w:b/>
        </w:rPr>
        <w:t xml:space="preserve">Practical:</w:t>
      </w:r>
      <w:r>
        <w:t xml:space="preserve"> </w:t>
      </w:r>
      <w:r>
        <w:t xml:space="preserve">Actionable guidelines for Munich law firms on ethical AI integration and cross-cultural negotiation tactics. These will be co-developed with the Munich Bar Association (Münchner Rechtsanwaltskammer) to ensure real-world applicability.</w:t>
      </w:r>
    </w:p>
    <w:p>
      <w:pPr>
        <w:numPr>
          <w:ilvl w:val="0"/>
          <w:numId w:val="1003"/>
        </w:numPr>
        <w:pStyle w:val="Compact"/>
      </w:pPr>
      <w:r>
        <w:rPr>
          <w:bCs/>
          <w:b/>
        </w:rPr>
        <w:t xml:space="preserve">Policy-Relevant:</w:t>
      </w:r>
      <w:r>
        <w:t xml:space="preserve"> </w:t>
      </w:r>
      <w:r>
        <w:t xml:space="preserve">Recommendations for Germany’s Federal Ministry of Justice regarding vocational training reforms, specifically targeting diversity in Munich's legal sector. The study will directly inform ongoing discussions about Germany’s 2025 Legal Profession Strategy.</w:t>
      </w:r>
    </w:p>
    <w:p>
      <w:pPr>
        <w:pStyle w:val="FirstParagraph"/>
      </w:pPr>
      <w:r>
        <w:t xml:space="preserve">By focusing on Germany Munich—a city where automotive giants like BMW collaborate with legal teams on AI-driven compliance solutions—the thesis positions the Lawyer as an indispensable innovation catalyst within Europe’s economic engine. This transcends generic "legal tech" discourse to emphasize how place-specific factors (e.g., Munich’s EU trade partnerships, Bavarian judicial traditions) uniquely shape professional practice.</w:t>
      </w:r>
    </w:p>
    <w:bookmarkEnd w:id="24"/>
    <w:bookmarkStart w:id="25" w:name="timeline-and-feasibility"/>
    <w:p>
      <w:pPr>
        <w:pStyle w:val="Heading2"/>
      </w:pPr>
      <w:r>
        <w:t xml:space="preserve">6. Timeline and Feasibility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1-2</w:t>
            </w:r>
          </w:p>
        </w:tc>
        <w:tc>
          <w:tcPr/>
          <w:p>
            <w:pPr>
              <w:pStyle w:val="Compact"/>
              <w:jc w:val="left"/>
            </w:pPr>
            <w:r>
              <w:t xml:space="preserve">Draft research protocol, ethics approval</w:t>
            </w:r>
          </w:p>
        </w:tc>
      </w:tr>
      <w:tr>
        <w:tc>
          <w:tcPr/>
          <w:p>
            <w:pPr>
              <w:pStyle w:val="Compact"/>
              <w:jc w:val="left"/>
            </w:pPr>
            <w:r>
              <w:t xml:space="preserve">Data Collection (Interviews/Surveys)</w:t>
            </w:r>
          </w:p>
        </w:tc>
        <w:tc>
          <w:tcPr/>
          <w:p>
            <w:pPr>
              <w:pStyle w:val="Compact"/>
              <w:jc w:val="left"/>
            </w:pPr>
            <w:r>
              <w:t xml:space="preserve">Months 3-7</w:t>
            </w:r>
          </w:p>
        </w:tc>
        <w:tc>
          <w:tcPr/>
          <w:p>
            <w:pPr>
              <w:pStyle w:val="Compact"/>
              <w:jc w:val="left"/>
            </w:pPr>
            <w:r>
              <w:t xml:space="preserve">Anonymized interview transcripts; Survey dataset</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First full chapter draft; Munich Bar Association workshop presentation</w:t>
            </w:r>
          </w:p>
        </w:tc>
      </w:tr>
      <w:tr>
        <w:tc>
          <w:tcPr/>
          <w:p>
            <w:pPr>
              <w:pStyle w:val="Compact"/>
              <w:jc w:val="left"/>
            </w:pPr>
            <w:r>
              <w:t xml:space="preserve">Final Revision &amp; Submission</w:t>
            </w:r>
          </w:p>
        </w:tc>
        <w:tc>
          <w:tcPr/>
          <w:p>
            <w:pPr>
              <w:pStyle w:val="Compact"/>
              <w:jc w:val="left"/>
            </w:pPr>
            <w:r>
              <w:t xml:space="preserve">Months 11-12</w:t>
            </w:r>
          </w:p>
          <w:p>
            <w:pPr>
              <w:jc w:val="left"/>
            </w:pPr>
            <w:r>
              <w:t xml:space="preserve">The feasibility is enhanced by established ties with the University of Munich’s Faculty of Law, access to the Bavarian Bar Association’s network, and pre-approved collaboration with Munich Regional Court (Landgericht München I) for case studies. All research protocols align with German legal academia standards.</w:t>
            </w:r>
          </w:p>
        </w:tc>
        <w:tc>
          <w:tcPr/>
          <w:p>
            <w:pPr>
              <w:pStyle w:val="Compact"/>
            </w:pPr>
          </w:p>
        </w:tc>
      </w:tr>
    </w:tbl>
    <w:bookmarkEnd w:id="25"/>
    <w:bookmarkStart w:id="26" w:name="conclusion"/>
    <w:p>
      <w:pPr>
        <w:pStyle w:val="Heading2"/>
      </w:pPr>
      <w:r>
        <w:t xml:space="preserve">7. Conclusion</w:t>
      </w:r>
    </w:p>
    <w:p>
      <w:pPr>
        <w:pStyle w:val="FirstParagraph"/>
      </w:pPr>
      <w:r>
        <w:t xml:space="preserve">This thesis directly responds to the urgent need for contextually grounded legal scholarship in Germany Munich. As a global city where international business strategy meets German judicial precision, Munich demands nuanced understanding of how the Lawyer evolves from traditional advocate to strategic partner. By centering our inquiry on Germany’s most economically dynamic legal market, this research will not only advance academic discourse but also provide tangible value for practitioners navigating Munich's complex legal terrain. The findings will empower Lawyers across Bavaria to proactively shape Germany’s legal future while upholding the highest ethical standards demanded by a city that stands at the intersection of tradition and innovation.</w:t>
      </w:r>
    </w:p>
    <w:p>
      <w:pPr>
        <w:pStyle w:val="BodyText"/>
      </w:pPr>
      <w:r>
        <w:rPr>
          <w:bCs/>
          <w:b/>
        </w:rPr>
        <w:t xml:space="preserve">Key Terms Integration:</w:t>
      </w:r>
      <w:r>
        <w:t xml:space="preserve"> </w:t>
      </w:r>
      <w:r>
        <w:t xml:space="preserve">This proposal consistently anchors its analysis within</w:t>
      </w:r>
      <w:r>
        <w:t xml:space="preserve"> </w:t>
      </w:r>
      <w:r>
        <w:rPr>
          <w:iCs/>
          <w:i/>
        </w:rPr>
        <w:t xml:space="preserve">Germany Munich</w:t>
      </w:r>
      <w:r>
        <w:t xml:space="preserve">'s unique socio-legal environment, investigates the multifaceted responsibilities of the modern</w:t>
      </w:r>
      <w:r>
        <w:t xml:space="preserve"> </w:t>
      </w:r>
      <w:r>
        <w:rPr>
          <w:iCs/>
          <w:i/>
        </w:rPr>
        <w:t xml:space="preserve">Lawyer</w:t>
      </w:r>
      <w:r>
        <w:t xml:space="preserve">, and presents a structured academic pathway as a comprehensive</w:t>
      </w:r>
      <w:r>
        <w:t xml:space="preserve"> </w:t>
      </w:r>
      <w:r>
        <w:rPr>
          <w:iCs/>
          <w:i/>
        </w:rPr>
        <w:t xml:space="preserve">Thesis Proposal</w:t>
      </w:r>
      <w:r>
        <w:t xml:space="preserve">. It transcends generic legal studies to deliver place-specific insights critical for Germany's most influential urban legal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within Germany Munich</dc:title>
  <dc:creator/>
  <dc:language>en</dc:language>
  <cp:keywords/>
  <dcterms:created xsi:type="dcterms:W3CDTF">2026-05-03T05:42:40Z</dcterms:created>
  <dcterms:modified xsi:type="dcterms:W3CDTF">2026-05-03T05:42:40Z</dcterms:modified>
</cp:coreProperties>
</file>

<file path=docProps/custom.xml><?xml version="1.0" encoding="utf-8"?>
<Properties xmlns="http://schemas.openxmlformats.org/officeDocument/2006/custom-properties" xmlns:vt="http://schemas.openxmlformats.org/officeDocument/2006/docPropsVTypes"/>
</file>