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Mumbai</w:t>
      </w:r>
      <w:r>
        <w:t xml:space="preserve"> </w:t>
      </w:r>
      <w:r>
        <w:t xml:space="preserve">Legal</w:t>
      </w:r>
      <w:r>
        <w:t xml:space="preserve"> </w:t>
      </w:r>
      <w:r>
        <w:t xml:space="preserve">Landscape</w:t>
      </w:r>
    </w:p>
    <w:bookmarkStart w:id="29" w:name="X9b89652c660951da6ca4197a4e3e4dced722e4a"/>
    <w:p>
      <w:pPr>
        <w:pStyle w:val="Heading1"/>
      </w:pPr>
      <w:r>
        <w:t xml:space="preserve">Thesis Proposal: The Transformative Role of the Modern Lawyer in India's Mumbai Legal Ecosystem</w:t>
      </w:r>
    </w:p>
    <w:bookmarkStart w:id="20" w:name="i.-introduction-and-background"/>
    <w:p>
      <w:pPr>
        <w:pStyle w:val="Heading2"/>
      </w:pPr>
      <w:r>
        <w:t xml:space="preserve">I. Introduction and Background</w:t>
      </w:r>
    </w:p>
    <w:p>
      <w:pPr>
        <w:pStyle w:val="FirstParagraph"/>
      </w:pPr>
      <w:r>
        <w:t xml:space="preserve">The legal profession in India stands at a pivotal juncture, with Mumbai emerging as the undisputed nerve center of judicial activity, corporate law, and legal innovation on the subcontinent. This Thesis Proposal examines the evolving role of the Lawyer in contemporary India Mumbai context—a dynamic environment shaped by rapid urbanization, economic liberalization, technological disruption, and judicial reforms. As India's financial capital houses 25% of all national courts including the Bombay High Court and numerous specialized tribunals, Mumbai's legal landscape presents a microcosm of India's broader legal challenges. This research critically investigates how traditional Lawyer practices are transforming in response to digitalization, increasing client expectations, and complex regulatory demands unique to Mumbai's multi-layered justice system. The significance of this study lies in its potential to inform legal education reforms, professional development frameworks, and judicial administration policies tailored specifically for India's premier legal hub.</w:t>
      </w:r>
    </w:p>
    <w:bookmarkEnd w:id="20"/>
    <w:bookmarkStart w:id="21" w:name="ii.-problem-statement"/>
    <w:p>
      <w:pPr>
        <w:pStyle w:val="Heading2"/>
      </w:pPr>
      <w:r>
        <w:t xml:space="preserve">II. Problem Statement</w:t>
      </w:r>
    </w:p>
    <w:p>
      <w:pPr>
        <w:pStyle w:val="FirstParagraph"/>
      </w:pPr>
      <w:r>
        <w:t xml:space="preserve">Despite Mumbai's status as India's primary legal destination, a critical gap exists between conventional Lawyer training models and the realities of modern practice. Current legal education in Indian institutions often fails to equip graduates with competencies required for Mumbai's high-stakes environment—where corporate litigation, intellectual property disputes, and cross-border transactions dominate. Simultaneously, Mumbai-specific challenges like court backlogs exceeding 60 million cases nationally (with Mumbai courts bearing disproportionate load), unequal access to justice for marginalized communities, and the rise of alternative dispute resolution mechanisms create unprecedented pressures on every Lawyer operating in this ecosystem. This Thesis Proposal addresses the urgent need to map these transformations systematically, moving beyond theoretical discourse to document actionable insights for both legal practitioners and policymakers in India.</w:t>
      </w:r>
    </w:p>
    <w:bookmarkEnd w:id="21"/>
    <w:bookmarkStart w:id="22" w:name="iii.-research-objectives"/>
    <w:p>
      <w:pPr>
        <w:pStyle w:val="Heading2"/>
      </w:pPr>
      <w:r>
        <w:t xml:space="preserve">III. Research Objectives</w:t>
      </w:r>
    </w:p>
    <w:p>
      <w:pPr>
        <w:numPr>
          <w:ilvl w:val="0"/>
          <w:numId w:val="1001"/>
        </w:numPr>
        <w:pStyle w:val="Compact"/>
      </w:pPr>
      <w:r>
        <w:t xml:space="preserve">To analyze how Mumbai-based Lawyer practices have evolved over the past decade in response to technological integration (e.g., e-filing systems, AI-driven legal research), regulatory shifts, and client demands.</w:t>
      </w:r>
    </w:p>
    <w:p>
      <w:pPr>
        <w:numPr>
          <w:ilvl w:val="0"/>
          <w:numId w:val="1001"/>
        </w:numPr>
        <w:pStyle w:val="Compact"/>
      </w:pPr>
      <w:r>
        <w:t xml:space="preserve">To identify systemic barriers hindering equitable access to quality legal services across Mumbai's socio-economic spectrum—particularly for low-income populations in informal settlements.</w:t>
      </w:r>
    </w:p>
    <w:p>
      <w:pPr>
        <w:numPr>
          <w:ilvl w:val="0"/>
          <w:numId w:val="1001"/>
        </w:numPr>
        <w:pStyle w:val="Compact"/>
      </w:pPr>
      <w:r>
        <w:t xml:space="preserve">To evaluate the impact of landmark judicial reforms (e.g., Lok Adalats, Cyber Appellate Tribunal) on the professional trajectory of Lawyer in India Mumbai context.</w:t>
      </w:r>
    </w:p>
    <w:p>
      <w:pPr>
        <w:numPr>
          <w:ilvl w:val="0"/>
          <w:numId w:val="1001"/>
        </w:numPr>
        <w:pStyle w:val="Compact"/>
      </w:pPr>
      <w:r>
        <w:t xml:space="preserve">To develop a competency framework for future Lawyers operating within Mumbai's unique legal ecosystem, incorporating technological fluency, cross-cultural communication, and ethical navigation.</w:t>
      </w:r>
    </w:p>
    <w:bookmarkEnd w:id="22"/>
    <w:bookmarkStart w:id="23" w:name="X39c7f43e160403dba6fad84708d7b3074121e4c"/>
    <w:p>
      <w:pPr>
        <w:pStyle w:val="Heading2"/>
      </w:pPr>
      <w:r>
        <w:t xml:space="preserve">IV. Literature Review (Contextualizing India Mumbai)</w:t>
      </w:r>
    </w:p>
    <w:p>
      <w:pPr>
        <w:pStyle w:val="FirstParagraph"/>
      </w:pPr>
      <w:r>
        <w:t xml:space="preserve">Existing scholarship on Indian legal profession predominantly focuses on theoretical jurisprudence or macro-level policy analysis. Notable works by scholars like Sujit Choudhury (2019) and the National Legal Services Authority's reports provide valuable macro data but lack granular examination of Mumbai-specific dynamics. Recent studies (e.g., "Digital Transformation in Indian Courts" - IIT Mumbai, 2023) highlight technological adoption gaps, yet omit practitioner perspectives. This Thesis Proposal bridges this gap by centering on the Lawyer experience within Mumbai's concrete institutional framework—the High Court complex, regional economic courts, and bustling legal hubs like Nariman Point. It critically engages with India's 2018 Legal Education and Training Standards Regulations while interrogating how these standards translate to Mumbai's practical reality where 65% of India’s corporate litigation occurs.</w:t>
      </w:r>
    </w:p>
    <w:bookmarkEnd w:id="23"/>
    <w:bookmarkStart w:id="24" w:name="v.-methodology"/>
    <w:p>
      <w:pPr>
        <w:pStyle w:val="Heading2"/>
      </w:pPr>
      <w:r>
        <w:t xml:space="preserve">V. Methodology</w:t>
      </w:r>
    </w:p>
    <w:p>
      <w:pPr>
        <w:pStyle w:val="FirstParagraph"/>
      </w:pPr>
      <w:r>
        <w:t xml:space="preserve">This mixed-methods research employs triangulation for robust insights into Lawyer practices in India Mumbai:</w:t>
      </w:r>
    </w:p>
    <w:p>
      <w:pPr>
        <w:numPr>
          <w:ilvl w:val="0"/>
          <w:numId w:val="1002"/>
        </w:numPr>
        <w:pStyle w:val="Compact"/>
      </w:pPr>
      <w:r>
        <w:rPr>
          <w:bCs/>
          <w:b/>
        </w:rPr>
        <w:t xml:space="preserve">Qualitative Component:</w:t>
      </w:r>
      <w:r>
        <w:t xml:space="preserve"> </w:t>
      </w:r>
      <w:r>
        <w:t xml:space="preserve">In-depth interviews (n=40) with practicing Lawyers across Mumbai (including advocates from prestigious firms, public defenders, and legal aid practitioners), supplemented by 15 focus groups with law students at Symbiosis Law School and NLSIU Mumbai.</w:t>
      </w:r>
    </w:p>
    <w:p>
      <w:pPr>
        <w:numPr>
          <w:ilvl w:val="0"/>
          <w:numId w:val="1002"/>
        </w:numPr>
        <w:pStyle w:val="Compact"/>
      </w:pPr>
      <w:r>
        <w:rPr>
          <w:bCs/>
          <w:b/>
        </w:rPr>
        <w:t xml:space="preserve">Quantitative Component:</w:t>
      </w:r>
      <w:r>
        <w:t xml:space="preserve"> </w:t>
      </w:r>
      <w:r>
        <w:t xml:space="preserve">Survey of 250 active Lawyers registered with the Bar Council of India (Mumbai Chapter) measuring workloads, technology adoption rates, client satisfaction metrics, and perceived ethical challenges.</w:t>
      </w:r>
    </w:p>
    <w:p>
      <w:pPr>
        <w:numPr>
          <w:ilvl w:val="0"/>
          <w:numId w:val="1002"/>
        </w:numPr>
        <w:pStyle w:val="Compact"/>
      </w:pPr>
      <w:r>
        <w:rPr>
          <w:bCs/>
          <w:b/>
        </w:rPr>
        <w:t xml:space="preserve">Document Analysis:</w:t>
      </w:r>
      <w:r>
        <w:t xml:space="preserve"> </w:t>
      </w:r>
      <w:r>
        <w:t xml:space="preserve">Examination of Mumbai High Court case management data (2018-2023), judicial pronouncements on legal ethics, and institutional reports from the Mumbai Bar Association.</w:t>
      </w:r>
    </w:p>
    <w:p>
      <w:pPr>
        <w:pStyle w:val="FirstParagraph"/>
      </w:pPr>
      <w:r>
        <w:t xml:space="preserve">Data collection will occur through structured fieldwork in Mumbai's legal precincts between June 2024–February 2025, with ethical clearance secured from the University of Mumbai's Institutional Ethics Committee. This methodology ensures contextual depth while maintaining academic rigor specific to India Mumbai’s legal topography.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w:t>
      </w:r>
    </w:p>
    <w:p>
      <w:pPr>
        <w:numPr>
          <w:ilvl w:val="0"/>
          <w:numId w:val="1003"/>
        </w:numPr>
        <w:pStyle w:val="Compact"/>
      </w:pPr>
      <w:r>
        <w:rPr>
          <w:bCs/>
          <w:b/>
        </w:rPr>
        <w:t xml:space="preserve">Practical Competency Model:</w:t>
      </w:r>
      <w:r>
        <w:t xml:space="preserve"> </w:t>
      </w:r>
      <w:r>
        <w:t xml:space="preserve">A framework defining 21st-century Lawyer competencies for Mumbai—prioritizing digital literacy (e.g., AI tools like "CaseMine"), multilingual communication for diverse client bases, and trauma-informed practice essential in Mumbai's high-pressure courts.</w:t>
      </w:r>
    </w:p>
    <w:p>
      <w:pPr>
        <w:numPr>
          <w:ilvl w:val="0"/>
          <w:numId w:val="1003"/>
        </w:numPr>
        <w:pStyle w:val="Compact"/>
      </w:pPr>
      <w:r>
        <w:rPr>
          <w:bCs/>
          <w:b/>
        </w:rPr>
        <w:t xml:space="preserve">Policy Recommendations:</w:t>
      </w:r>
      <w:r>
        <w:t xml:space="preserve"> </w:t>
      </w:r>
      <w:r>
        <w:t xml:space="preserve">Evidence-based proposals targeting the Maharashtra State Legal Services Authority to redesign legal aid clinics in Mumbai slums and streamline e-filing processes at the Bombay High Court.</w:t>
      </w:r>
    </w:p>
    <w:p>
      <w:pPr>
        <w:numPr>
          <w:ilvl w:val="0"/>
          <w:numId w:val="1003"/>
        </w:numPr>
        <w:pStyle w:val="Compact"/>
      </w:pPr>
      <w:r>
        <w:rPr>
          <w:bCs/>
          <w:b/>
        </w:rPr>
        <w:t xml:space="preserve">Educational Blueprint:</w:t>
      </w:r>
      <w:r>
        <w:t xml:space="preserve"> </w:t>
      </w:r>
      <w:r>
        <w:t xml:space="preserve">Curriculum modifications for Indian law schools (e.g., integrating Mumbai-specific case studies on maritime disputes, real estate litigation, and fintech regulation) to align with the Lawyer's evolving role in India’s economic capital.</w:t>
      </w:r>
    </w:p>
    <w:p>
      <w:pPr>
        <w:pStyle w:val="FirstParagraph"/>
      </w:pPr>
      <w:r>
        <w:t xml:space="preserve">The significance extends beyond academia: By grounding research in Mumbai’s operational realities, this work directly addresses the National Judicial Policy 2024's goal of "reducing case pendency by 50% through technology-enabled justice delivery." A Lawyer adept in Mumbai’s ecosystem can significantly reduce delays—potentially saving India an estimated ₹87,000 crore annually in economic losses from court backlog.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Jan–Mar 2024</w:t>
      </w:r>
    </w:p>
    <w:p>
      <w:pPr>
        <w:pStyle w:val="BodyText"/>
      </w:pPr>
      <w:r>
        <w:t xml:space="preserve">Preliminary annotated bibliography; Methodology approval from University of Mumbai Ethics Board</w:t>
      </w:r>
    </w:p>
    <w:p>
      <w:pPr>
        <w:pStyle w:val="BodyText"/>
      </w:pPr>
      <w:r>
        <w:t xml:space="preserve">Data Collection (Fieldwork)</w:t>
      </w:r>
    </w:p>
    <w:p>
      <w:pPr>
        <w:pStyle w:val="BodyText"/>
      </w:pPr>
      <w:r>
        <w:t xml:space="preserve">Apr–Sep 2024</w:t>
      </w:r>
    </w:p>
    <w:p>
      <w:pPr>
        <w:pStyle w:val="BodyText"/>
      </w:pPr>
      <w:r>
        <w:t xml:space="preserve">Interview transcripts; Survey data from Mumbai lawyers (n=250)</w:t>
      </w:r>
    </w:p>
    <w:p>
      <w:pPr>
        <w:pStyle w:val="BodyText"/>
      </w:pPr>
      <w:r>
        <w:t xml:space="preserve">Data Analysis &amp; Drafting</w:t>
      </w:r>
    </w:p>
    <w:p>
      <w:pPr>
        <w:pStyle w:val="BodyText"/>
      </w:pPr>
      <w:r>
        <w:t xml:space="preserve">Oct–Dec 2024</w:t>
      </w:r>
    </w:p>
    <w:p>
      <w:pPr>
        <w:pStyle w:val="BodyText"/>
      </w:pPr>
      <w:r>
        <w:t xml:space="preserve">Competency framework; Policy briefs for Maharashtra Legal Services Authority</w:t>
      </w:r>
    </w:p>
    <w:p>
      <w:pPr>
        <w:pStyle w:val="BodyText"/>
      </w:pPr>
      <w:r>
        <w:t xml:space="preserve">Thesis Finalization &amp; Defense</w:t>
      </w:r>
    </w:p>
    <w:p>
      <w:pPr>
        <w:pStyle w:val="BodyText"/>
      </w:pPr>
      <w:r>
        <w:t xml:space="preserve">Jan–Mar 2025</w:t>
      </w:r>
    </w:p>
    <w:p>
      <w:pPr>
        <w:pStyle w:val="BodyText"/>
      </w:pPr>
      <w:r>
        <w:t xml:space="preserve">&lt;</w:t>
      </w:r>
    </w:p>
    <w:p>
      <w:pPr>
        <w:pStyle w:val="BodyText"/>
      </w:pPr>
      <w:r>
        <w:t xml:space="preserve">Fully drafted thesis (80,000 words); Thesis defense at Symbiosis Law School, Mumbai</w:t>
      </w:r>
    </w:p>
    <w:bookmarkEnd w:id="26"/>
    <w:bookmarkStart w:id="27" w:name="X076d300de2d00515c2fb19db39e2a403aad128f"/>
    <w:p>
      <w:pPr>
        <w:pStyle w:val="Heading2"/>
      </w:pPr>
      <w:r>
        <w:t xml:space="preserve">VIII. Conclusion: Why This Matters for India Mumbai</w:t>
      </w:r>
    </w:p>
    <w:p>
      <w:pPr>
        <w:pStyle w:val="FirstParagraph"/>
      </w:pPr>
      <w:r>
        <w:t xml:space="preserve">The modern Lawyer in India Mumbai is no longer confined to courtroom advocacy alone—it is a strategic advisor, technology integrator, and social justice catalyst operating within one of the world's most complex legal ecosystems. As India accelerates its "Digital India" vision through legal tech adoption (e.g., e-filing in 50+ Mumbai courts), this Thesis Proposal provides the first comprehensive study of how Lawyer practice is adapting to these shifts. By centering Mumbai—a city where 43% of all Indian law firms have headquarters—the research delivers context-specific insights that can transform legal education, policy, and professional standards across India. The outcomes will empower Lawyers to navigate Mumbai's unique challenges while advancing justice for all citizens, from corporate executives in Nariman Point to marginalized communities in Dharavi. This Thesis Proposal thus represents not merely academic inquiry but a practical roadmap for reimagining the Lawyer's role in India’s most consequential legal arena.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Lawyer in Contemporary India Mumbai Legal Landscape</dc:title>
  <dc:creator/>
  <dc:language>en</dc:language>
  <cp:keywords/>
  <dcterms:created xsi:type="dcterms:W3CDTF">2026-07-20T21:07:34Z</dcterms:created>
  <dcterms:modified xsi:type="dcterms:W3CDTF">2026-07-20T21:07:34Z</dcterms:modified>
</cp:coreProperties>
</file>

<file path=docProps/custom.xml><?xml version="1.0" encoding="utf-8"?>
<Properties xmlns="http://schemas.openxmlformats.org/officeDocument/2006/custom-properties" xmlns:vt="http://schemas.openxmlformats.org/officeDocument/2006/docPropsVTypes"/>
</file>