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Iran</w:t>
      </w:r>
      <w:r>
        <w:t xml:space="preserve"> </w:t>
      </w:r>
      <w:r>
        <w:t xml:space="preserve">Tehran</w:t>
      </w:r>
      <w:r>
        <w:t xml:space="preserve"> </w:t>
      </w:r>
      <w:r>
        <w:t xml:space="preserve">Legal</w:t>
      </w:r>
      <w:r>
        <w:t xml:space="preserve"> </w:t>
      </w:r>
      <w:r>
        <w:t xml:space="preserve">System</w:t>
      </w:r>
    </w:p>
    <w:bookmarkStart w:id="29" w:name="X1ae6cd5f47685248d0239f88cfb34cde5f34aaf"/>
    <w:p>
      <w:pPr>
        <w:pStyle w:val="Heading1"/>
      </w:pPr>
      <w:r>
        <w:t xml:space="preserve">Thesis Proposal: The Evolving Role of the Lawyer in Iran Tehran Legal System</w:t>
      </w:r>
    </w:p>
    <w:bookmarkStart w:id="20" w:name="abstract"/>
    <w:p>
      <w:pPr>
        <w:pStyle w:val="Heading2"/>
      </w:pPr>
      <w:r>
        <w:t xml:space="preserve">Abstract</w:t>
      </w:r>
    </w:p>
    <w:p>
      <w:pPr>
        <w:pStyle w:val="FirstParagraph"/>
      </w:pPr>
      <w:r>
        <w:t xml:space="preserve">This Thesis Proposal outlines a critical academic inquiry into the professional dynamics, challenges, and adaptive strategies of the Lawyer within Iran's legal framework, with specific emphasis on Tehran as the nation's judicial epicenter. Focusing on the unique socio-legal environment of Iran Tehran, this research addresses an acute gap in contemporary legal scholarship regarding how Lawyers navigate systemic constraints while upholding client advocacy and justice. With Tehran housing over 70% of Iran's judicial institutions and a population exceeding 9 million, understanding the Lawyer's evolving role here is pivotal for both domestic legal reform discourse and international academic engagement. This proposal details methodology, significance, and expected contributions to legal theory and practice in Iran Tehran.</w:t>
      </w:r>
    </w:p>
    <w:bookmarkEnd w:id="20"/>
    <w:bookmarkStart w:id="21" w:name="X88530e53aa7365d3c29b752746439381980183e"/>
    <w:p>
      <w:pPr>
        <w:pStyle w:val="Heading2"/>
      </w:pPr>
      <w:r>
        <w:t xml:space="preserve">1. Introduction: Contextualizing the Lawyer in Iran Tehran</w:t>
      </w:r>
    </w:p>
    <w:p>
      <w:pPr>
        <w:pStyle w:val="FirstParagraph"/>
      </w:pPr>
      <w:r>
        <w:t xml:space="preserve">Tehran, as the political, economic, and judicial capital of Iran, hosts the Supreme Court of Justice, all major criminal courts (including Revolutionary Courts), and a dense concentration of legal professionals. The Lawyer profession in Iran operates under a complex hybrid system merging Islamic jurisprudence with civil law traditions—a framework demanding nuanced interpretation. This Thesis Proposal specifically investigates how Lawyers in Iran Tehran adapt to structural pressures: stringent judicial oversight, evolving client expectations, resource limitations, and the ethical imperatives of representing diverse clients within an authoritarian legal landscape. The urgency of this study stems from Tehran's role as a microcosm for nationwide legal challenges, making it indispensable for any meaningful analysis of Iran's justice system.</w:t>
      </w:r>
    </w:p>
    <w:bookmarkEnd w:id="21"/>
    <w:bookmarkStart w:id="22" w:name="problem-statement-and-research-gap"/>
    <w:p>
      <w:pPr>
        <w:pStyle w:val="Heading2"/>
      </w:pPr>
      <w:r>
        <w:t xml:space="preserve">2. Problem Statement and Research Gap</w:t>
      </w:r>
    </w:p>
    <w:p>
      <w:pPr>
        <w:pStyle w:val="FirstParagraph"/>
      </w:pPr>
      <w:r>
        <w:t xml:space="preserve">Existing scholarship on Iran’s legal system often overlooks the practical realities faced by Lawyers operating daily in Tehran. Prior research concentrates on macro-level judicial structures or political trials, neglecting the Lawyer as an active agent shaping justice delivery. In Iran Tehran, where urban legal needs are magnified by migration and economic disparity, Lawyers encounter unique pressures—from managing overwhelming caseloads to navigating opaque administrative procedures—that remain under-documented. This Thesis Proposal addresses this critical gap by centering the Lawyer’s lived experience within Tehran's dynamic legal ecosystem, moving beyond theoretical debates to grounded empirical analysis.</w:t>
      </w:r>
    </w:p>
    <w:bookmarkEnd w:id="22"/>
    <w:bookmarkStart w:id="23" w:name="research-objectives"/>
    <w:p>
      <w:pPr>
        <w:pStyle w:val="Heading2"/>
      </w:pPr>
      <w:r>
        <w:t xml:space="preserve">3. Research Objectives</w:t>
      </w:r>
    </w:p>
    <w:p>
      <w:pPr>
        <w:numPr>
          <w:ilvl w:val="0"/>
          <w:numId w:val="1001"/>
        </w:numPr>
        <w:pStyle w:val="Compact"/>
      </w:pPr>
      <w:r>
        <w:rPr>
          <w:bCs/>
          <w:b/>
        </w:rPr>
        <w:t xml:space="preserve">To analyze systemic constraints</w:t>
      </w:r>
      <w:r>
        <w:t xml:space="preserve"> </w:t>
      </w:r>
      <w:r>
        <w:t xml:space="preserve">affecting Lawyer efficacy in Iran Tehran, including regulatory limitations imposed by the Ministry of Justice and ethical dilemmas under Islamic law interpretation.</w:t>
      </w:r>
    </w:p>
    <w:p>
      <w:pPr>
        <w:numPr>
          <w:ilvl w:val="0"/>
          <w:numId w:val="1001"/>
        </w:numPr>
        <w:pStyle w:val="Compact"/>
      </w:pPr>
      <w:r>
        <w:rPr>
          <w:bCs/>
          <w:b/>
        </w:rPr>
        <w:t xml:space="preserve">To evaluate client-Lawyer relationships</w:t>
      </w:r>
      <w:r>
        <w:t xml:space="preserve"> </w:t>
      </w:r>
      <w:r>
        <w:t xml:space="preserve">in Tehran across socioeconomic strata, assessing trust levels and accessibility barriers for marginalized groups (e.g., women, rural migrants).</w:t>
      </w:r>
    </w:p>
    <w:p>
      <w:pPr>
        <w:numPr>
          <w:ilvl w:val="0"/>
          <w:numId w:val="1001"/>
        </w:numPr>
        <w:pStyle w:val="Compact"/>
      </w:pPr>
      <w:r>
        <w:rPr>
          <w:bCs/>
          <w:b/>
        </w:rPr>
        <w:t xml:space="preserve">To identify adaptive professional strategies</w:t>
      </w:r>
      <w:r>
        <w:t xml:space="preserve"> </w:t>
      </w:r>
      <w:r>
        <w:t xml:space="preserve">employed by Lawyers in Iran Tehran to uphold legal standards amid resource scarcity and political sensitivities.</w:t>
      </w:r>
    </w:p>
    <w:p>
      <w:pPr>
        <w:numPr>
          <w:ilvl w:val="0"/>
          <w:numId w:val="1001"/>
        </w:numPr>
        <w:pStyle w:val="Compact"/>
      </w:pPr>
      <w:r>
        <w:rPr>
          <w:bCs/>
          <w:b/>
        </w:rPr>
        <w:t xml:space="preserve">To propose context-specific recommendations</w:t>
      </w:r>
      <w:r>
        <w:t xml:space="preserve"> </w:t>
      </w:r>
      <w:r>
        <w:t xml:space="preserve">for enhancing Lawyer professionalism and access to justice within Iran's constitutional framework.</w:t>
      </w:r>
    </w:p>
    <w:bookmarkEnd w:id="23"/>
    <w:bookmarkStart w:id="24" w:name="methodology"/>
    <w:p>
      <w:pPr>
        <w:pStyle w:val="Heading2"/>
      </w:pPr>
      <w:r>
        <w:t xml:space="preserve">4. Methodology</w:t>
      </w:r>
    </w:p>
    <w:p>
      <w:pPr>
        <w:pStyle w:val="FirstParagraph"/>
      </w:pPr>
      <w:r>
        <w:t xml:space="preserve">This mixed-methods study will employ triangulation for robust insights. Primary data collection in Tehran involves:</w:t>
      </w:r>
    </w:p>
    <w:p>
      <w:pPr>
        <w:numPr>
          <w:ilvl w:val="0"/>
          <w:numId w:val="1002"/>
        </w:numPr>
        <w:pStyle w:val="Compact"/>
      </w:pPr>
      <w:r>
        <w:rPr>
          <w:bCs/>
          <w:b/>
        </w:rPr>
        <w:t xml:space="preserve">Semi-structured interviews</w:t>
      </w:r>
      <w:r>
        <w:t xml:space="preserve">: 30–35 in-depth conversations with licensed Lawyers practicing across Tehran’s judicial districts (e.g., District 1, 2, and the Central Court Complex), ensuring gender and specialization diversity.</w:t>
      </w:r>
    </w:p>
    <w:p>
      <w:pPr>
        <w:numPr>
          <w:ilvl w:val="0"/>
          <w:numId w:val="1002"/>
        </w:numPr>
        <w:pStyle w:val="Compact"/>
      </w:pPr>
      <w:r>
        <w:rPr>
          <w:bCs/>
          <w:b/>
        </w:rPr>
        <w:t xml:space="preserve">Document analysis</w:t>
      </w:r>
      <w:r>
        <w:t xml:space="preserve">: Review of anonymized case files (with institutional approval) from Tehran public prosecutor’s offices to trace Lawyer involvement patterns in civil/criminal disputes.</w:t>
      </w:r>
    </w:p>
    <w:p>
      <w:pPr>
        <w:numPr>
          <w:ilvl w:val="0"/>
          <w:numId w:val="1002"/>
        </w:numPr>
        <w:pStyle w:val="Compact"/>
      </w:pPr>
      <w:r>
        <w:rPr>
          <w:bCs/>
          <w:b/>
        </w:rPr>
        <w:t xml:space="preserve">Focus groups with legal students</w:t>
      </w:r>
      <w:r>
        <w:t xml:space="preserve">: 3–4 sessions at Tehran University Faculty of Law to explore emerging professional attitudes among future Lawyers.</w:t>
      </w:r>
    </w:p>
    <w:p>
      <w:pPr>
        <w:pStyle w:val="FirstParagraph"/>
      </w:pPr>
      <w:r>
        <w:t xml:space="preserve">All research adheres to Iranian ethical guidelines, with participant anonymity guaranteed. Data analysis will utilize thematic coding (NVivo software) to identify recurring challenges and adaptive practices specific to Iran Tehran’s legal milieu.</w:t>
      </w:r>
    </w:p>
    <w:bookmarkEnd w:id="24"/>
    <w:bookmarkStart w:id="25" w:name="significance-of-the-study"/>
    <w:p>
      <w:pPr>
        <w:pStyle w:val="Heading2"/>
      </w:pPr>
      <w:r>
        <w:t xml:space="preserve">5. Significance of the Study</w:t>
      </w:r>
    </w:p>
    <w:p>
      <w:pPr>
        <w:pStyle w:val="FirstParagraph"/>
      </w:pPr>
      <w:r>
        <w:t xml:space="preserve">This Thesis Proposal offers multifaceted significance:</w:t>
      </w:r>
    </w:p>
    <w:p>
      <w:pPr>
        <w:numPr>
          <w:ilvl w:val="0"/>
          <w:numId w:val="1003"/>
        </w:numPr>
        <w:pStyle w:val="Compact"/>
      </w:pPr>
      <w:r>
        <w:rPr>
          <w:bCs/>
          <w:b/>
        </w:rPr>
        <w:t xml:space="preserve">Academic:</w:t>
      </w:r>
      <w:r>
        <w:t xml:space="preserve"> </w:t>
      </w:r>
      <w:r>
        <w:t xml:space="preserve">It advances critical legal studies by reframing the Lawyer as a key actor in Iran’s justice system, not merely a passive implementer of law. This counters Eurocentric legal narratives often applied to non-Western contexts.</w:t>
      </w:r>
    </w:p>
    <w:p>
      <w:pPr>
        <w:numPr>
          <w:ilvl w:val="0"/>
          <w:numId w:val="1003"/>
        </w:numPr>
        <w:pStyle w:val="Compact"/>
      </w:pPr>
      <w:r>
        <w:rPr>
          <w:bCs/>
          <w:b/>
        </w:rPr>
        <w:t xml:space="preserve">Professional:</w:t>
      </w:r>
      <w:r>
        <w:t xml:space="preserve"> </w:t>
      </w:r>
      <w:r>
        <w:t xml:space="preserve">Findings will directly inform Tehran-based bar associations on capacity-building needs for Lawyers, potentially influencing ethics training curricula at the National Bar Association office in Iran Tehran.</w:t>
      </w:r>
    </w:p>
    <w:p>
      <w:pPr>
        <w:numPr>
          <w:ilvl w:val="0"/>
          <w:numId w:val="1003"/>
        </w:numPr>
        <w:pStyle w:val="Compact"/>
      </w:pPr>
      <w:r>
        <w:rPr>
          <w:bCs/>
          <w:b/>
        </w:rPr>
        <w:t xml:space="preserve">Societal:</w:t>
      </w:r>
      <w:r>
        <w:t xml:space="preserve"> </w:t>
      </w:r>
      <w:r>
        <w:t xml:space="preserve">By highlighting access-to-justice gaps, this research empowers civil society organizations working in Tehran to advocate for equitable legal services—particularly vital for low-income populations navigating Iran's complex courts.</w:t>
      </w:r>
    </w:p>
    <w:bookmarkEnd w:id="25"/>
    <w:bookmarkStart w:id="26" w:name="expected-contributions"/>
    <w:p>
      <w:pPr>
        <w:pStyle w:val="Heading2"/>
      </w:pPr>
      <w:r>
        <w:t xml:space="preserve">6. Expected Contributions</w:t>
      </w:r>
    </w:p>
    <w:p>
      <w:pPr>
        <w:pStyle w:val="FirstParagraph"/>
      </w:pPr>
      <w:r>
        <w:t xml:space="preserve">This Thesis Proposal anticipates three transformative contributions. First, it will produce the first comprehensive typology of Lawyer roles in Tehran—categorizing professionals by their primary adaptive strategies (e.g., "pragmatic compliance," "strategic advocacy"). Second, it will develop a framework for measuring "professional resilience" among Lawyers within Iran’s specific legal constraints, offering a metric applicable to other Muslim-majority jurisdictions. Third, the study will culminate in actionable policy briefs targeted at Tehran’s judiciary and Ministry of Justice to reduce systemic barriers—such as streamlining court documentation or expanding pro bono opportunities for Lawyers serving vulnerable Tehran communities.</w:t>
      </w:r>
    </w:p>
    <w:bookmarkEnd w:id="26"/>
    <w:bookmarkStart w:id="27" w:name="conclusion-why-iran-tehran-matters"/>
    <w:p>
      <w:pPr>
        <w:pStyle w:val="Heading2"/>
      </w:pPr>
      <w:r>
        <w:t xml:space="preserve">7. Conclusion: Why Iran Tehran Matters</w:t>
      </w:r>
    </w:p>
    <w:p>
      <w:pPr>
        <w:pStyle w:val="FirstParagraph"/>
      </w:pPr>
      <w:r>
        <w:t xml:space="preserve">The Lawyer profession in Iran is not merely a technical vocation but a vital institution shaping social cohesion and governance in a rapidly urbanizing society. Tehran, as the nerve center of this system, provides an unparalleled lens for study. This Thesis Proposal transcends academic exercise; it is an urgent exploration into how Lawyers navigate law, ethics, and power in one of the world’s most complex judicial environments. By centering the Lawyer’s perspective within Iran Tehran's unique context, this research promises to enrich global legal scholarship while offering tangible pathways to strengthen justice delivery for millions. The findings will resonate beyond Tehran—offering insights for legal systems worldwide grappling with similar tensions between institutional authority and professional integrity.</w:t>
      </w:r>
    </w:p>
    <w:bookmarkEnd w:id="27"/>
    <w:bookmarkStart w:id="28" w:name="references-illustrative"/>
    <w:p>
      <w:pPr>
        <w:pStyle w:val="Heading2"/>
      </w:pPr>
      <w:r>
        <w:t xml:space="preserve">8. References (Illustrative)</w:t>
      </w:r>
    </w:p>
    <w:p>
      <w:pPr>
        <w:pStyle w:val="FirstParagraph"/>
      </w:pPr>
      <w:r>
        <w:t xml:space="preserve">Azizi, S., &amp; Rahimian, N. (2021). *Legal Practice under Islamic Jurisprudence: A Tehran Case Study*. Journal of Middle Eastern Law.</w:t>
      </w:r>
      <w:r>
        <w:t xml:space="preserve"> </w:t>
      </w:r>
      <w:r>
        <w:t xml:space="preserve">Karimpour, R. (2019). Access to Justice in Iran’s Urban Centers: Barriers and Innovations. *International Journal of Legal Practice*.</w:t>
      </w:r>
      <w:r>
        <w:t xml:space="preserve"> </w:t>
      </w:r>
      <w:r>
        <w:t xml:space="preserve">Ministry of Justice, Iran. (2023). *Annual Report on Judicial Statistics* (Tehran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Iran Tehran Legal System</dc:title>
  <dc:creator/>
  <dc:language>en</dc:language>
  <cp:keywords/>
  <dcterms:created xsi:type="dcterms:W3CDTF">2026-07-15T00:07:47Z</dcterms:created>
  <dcterms:modified xsi:type="dcterms:W3CDTF">2026-07-15T00:07:47Z</dcterms:modified>
</cp:coreProperties>
</file>

<file path=docProps/custom.xml><?xml version="1.0" encoding="utf-8"?>
<Properties xmlns="http://schemas.openxmlformats.org/officeDocument/2006/custom-properties" xmlns:vt="http://schemas.openxmlformats.org/officeDocument/2006/docPropsVTypes"/>
</file>