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Iraq</w:t>
      </w:r>
      <w:r>
        <w:t xml:space="preserve"> </w:t>
      </w:r>
      <w:r>
        <w:t xml:space="preserve">Baghdad's</w:t>
      </w:r>
      <w:r>
        <w:t xml:space="preserve"> </w:t>
      </w:r>
      <w:r>
        <w:t xml:space="preserve">Judicial</w:t>
      </w:r>
      <w:r>
        <w:t xml:space="preserve"> </w:t>
      </w:r>
      <w:r>
        <w:t xml:space="preserve">Transformation</w:t>
      </w:r>
    </w:p>
    <w:bookmarkStart w:id="29" w:name="Xec74a1bc2e3380db25c20d8f457b6a795656152"/>
    <w:p>
      <w:pPr>
        <w:pStyle w:val="Heading1"/>
      </w:pPr>
      <w:r>
        <w:t xml:space="preserve">Thesis Proposal: The Critical Role of the Lawyer in Iraq Baghdad's Judicial Transformation</w:t>
      </w:r>
    </w:p>
    <w:bookmarkStart w:id="20" w:name="introduction"/>
    <w:p>
      <w:pPr>
        <w:pStyle w:val="Heading2"/>
      </w:pPr>
      <w:r>
        <w:t xml:space="preserve">Introduction</w:t>
      </w:r>
    </w:p>
    <w:p>
      <w:pPr>
        <w:pStyle w:val="FirstParagraph"/>
      </w:pPr>
      <w:r>
        <w:t xml:space="preserve">The legal profession stands as a cornerstone of democratic governance and social justice, yet in post-conflict societies like Iraq, its development faces extraordinary challenges. This thesis proposal examines the evolving role of the lawyer within Baghdad's judicial ecosystem—a city that has borne the brunt of decades-long conflict and systemic upheaval. As Iraq navigates complex political transitions, the Lawyer in Baghdad is not merely a legal practitioner but a pivotal agent for institutional reconstruction. This research investigates how contemporary lawyers in Iraq Baghdad navigate bureaucratic fragmentation, sectarian tensions, and resource scarcity to uphold justice amid unprecedented societal transformation. The study contends that understanding the Lawyer's daily reality is indispensable for meaningful judicial reform and sustainable peacebuilding in Iraq.</w:t>
      </w:r>
    </w:p>
    <w:bookmarkEnd w:id="20"/>
    <w:bookmarkStart w:id="21" w:name="problem-statement"/>
    <w:p>
      <w:pPr>
        <w:pStyle w:val="Heading2"/>
      </w:pPr>
      <w:r>
        <w:t xml:space="preserve">Problem Statement</w:t>
      </w:r>
    </w:p>
    <w:p>
      <w:pPr>
        <w:pStyle w:val="FirstParagraph"/>
      </w:pPr>
      <w:r>
        <w:t xml:space="preserve">Despite substantial international investment in Iraq's justice sector since 2003, Baghdad's legal profession remains underdeveloped and under-resourced. Lawyers face systemic barriers including: (1) Fragmented judicial administration across federal, regional, and local courts; (2) Persistent political interference in case assignments; (3) Inadequate legal education infrastructure; and (4) Widespread public distrust stemming from historical abuses. These challenges render the Lawyer's role perilous—often involving personal risk when defending human rights or challenging powerful entities. Without addressing these constraints, Iraq's judicial system cannot achieve legitimacy, jeopardizing national reconciliation efforts. This thesis directly confronts this gap by centering the Lawyer as both subject and catalyst of reform in Baghdad.</w:t>
      </w:r>
    </w:p>
    <w:bookmarkEnd w:id="21"/>
    <w:bookmarkStart w:id="22" w:name="research-questions"/>
    <w:p>
      <w:pPr>
        <w:pStyle w:val="Heading2"/>
      </w:pPr>
      <w:r>
        <w:t xml:space="preserve">Research Questions</w:t>
      </w:r>
    </w:p>
    <w:p>
      <w:pPr>
        <w:numPr>
          <w:ilvl w:val="0"/>
          <w:numId w:val="1001"/>
        </w:numPr>
        <w:pStyle w:val="Compact"/>
      </w:pPr>
      <w:r>
        <w:t xml:space="preserve">How do Lawyers in Baghdad negotiate institutional fragmentation while maintaining professional ethics?</w:t>
      </w:r>
    </w:p>
    <w:p>
      <w:pPr>
        <w:numPr>
          <w:ilvl w:val="0"/>
          <w:numId w:val="1001"/>
        </w:numPr>
        <w:pStyle w:val="Compact"/>
      </w:pPr>
      <w:r>
        <w:t xml:space="preserve">What specific challenges—safety, resources, training—most significantly impede effective legal practice?</w:t>
      </w:r>
    </w:p>
    <w:p>
      <w:pPr>
        <w:numPr>
          <w:ilvl w:val="0"/>
          <w:numId w:val="1001"/>
        </w:numPr>
        <w:pStyle w:val="Compact"/>
      </w:pPr>
      <w:r>
        <w:t xml:space="preserve">To what extent does the Lawyer's role influence public trust in Iraq's justice system?</w:t>
      </w:r>
    </w:p>
    <w:bookmarkEnd w:id="22"/>
    <w:bookmarkStart w:id="23" w:name="literature-review"/>
    <w:p>
      <w:pPr>
        <w:pStyle w:val="Heading2"/>
      </w:pPr>
      <w:r>
        <w:t xml:space="preserve">Literature Review</w:t>
      </w:r>
    </w:p>
    <w:p>
      <w:pPr>
        <w:pStyle w:val="FirstParagraph"/>
      </w:pPr>
      <w:r>
        <w:t xml:space="preserve">Existing scholarship on Iraqi legal reform (e.g., UNDP, 2019; International Bar Association, 2021) predominantly focuses on institutional design rather than ground-level practice. Studies by Al-Ali (2018) analyze legislative frameworks but overlook the Lawyer's daily reality in Baghdad’s courts. Similarly, academic work on Middle Eastern legal professions (e.g., Khadduri, 2015) generalizes across regions without addressing Iraq’s sectarian complexity. This thesis fills this void by employing a practitioner-centered approach. It builds upon recent fieldwork by Al-Suhaili (2023), which documented lawyer safety concerns in Baghdad, but expands to examine professional development and public perception—dimensions previously neglected in academic discourse on Iraq.</w:t>
      </w:r>
    </w:p>
    <w:bookmarkEnd w:id="23"/>
    <w:bookmarkStart w:id="24" w:name="methodology"/>
    <w:p>
      <w:pPr>
        <w:pStyle w:val="Heading2"/>
      </w:pPr>
      <w:r>
        <w:t xml:space="preserve">Methodology</w:t>
      </w:r>
    </w:p>
    <w:p>
      <w:pPr>
        <w:pStyle w:val="FirstParagraph"/>
      </w:pPr>
      <w:r>
        <w:t xml:space="preserve">This mixed-methods study employs three complementary approaches centered on Baghdad:</w:t>
      </w:r>
    </w:p>
    <w:p>
      <w:pPr>
        <w:numPr>
          <w:ilvl w:val="0"/>
          <w:numId w:val="1002"/>
        </w:numPr>
        <w:pStyle w:val="Compact"/>
      </w:pPr>
      <w:r>
        <w:rPr>
          <w:bCs/>
          <w:b/>
        </w:rPr>
        <w:t xml:space="preserve">Qualitative Case Studies:</w:t>
      </w:r>
      <w:r>
        <w:t xml:space="preserve"> </w:t>
      </w:r>
      <w:r>
        <w:t xml:space="preserve">In-depth interviews with 30 practicing Lawyers across Baghdad’s judiciary (including criminal, civil, and human rights specialists), selected to represent diverse ethnicities, genders, and court specializations.</w:t>
      </w:r>
    </w:p>
    <w:p>
      <w:pPr>
        <w:numPr>
          <w:ilvl w:val="0"/>
          <w:numId w:val="1002"/>
        </w:numPr>
        <w:pStyle w:val="Compact"/>
      </w:pPr>
      <w:r>
        <w:rPr>
          <w:bCs/>
          <w:b/>
        </w:rPr>
        <w:t xml:space="preserve">Quantitative Survey:</w:t>
      </w:r>
      <w:r>
        <w:t xml:space="preserve"> </w:t>
      </w:r>
      <w:r>
        <w:t xml:space="preserve">A structured survey of 150+ Lawyers from Baghdad's Bar Association assessing work conditions, caseload pressures, and trust metrics.</w:t>
      </w:r>
    </w:p>
    <w:p>
      <w:pPr>
        <w:numPr>
          <w:ilvl w:val="0"/>
          <w:numId w:val="1002"/>
        </w:numPr>
        <w:pStyle w:val="Compact"/>
      </w:pPr>
      <w:r>
        <w:rPr>
          <w:bCs/>
          <w:b/>
        </w:rPr>
        <w:t xml:space="preserve">Field Observation:</w:t>
      </w:r>
      <w:r>
        <w:t xml:space="preserve"> </w:t>
      </w:r>
      <w:r>
        <w:t xml:space="preserve">6 months of participant observation in Baghdad Central Courts to document procedural challenges and Lawyer-client interactions.</w:t>
      </w:r>
    </w:p>
    <w:p>
      <w:pPr>
        <w:pStyle w:val="FirstParagraph"/>
      </w:pPr>
      <w:r>
        <w:t xml:space="preserve">Data analysis will utilize thematic coding for qualitative material and statistical regression for survey data, ensuring findings reflect Baghdad’s ground truth. Ethical considerations include anonymity protection for Lawyers facing security risks—a critical safeguard given Iraq's context.</w:t>
      </w:r>
    </w:p>
    <w:bookmarkEnd w:id="24"/>
    <w:bookmarkStart w:id="25" w:name="expected-outcomes-significance"/>
    <w:p>
      <w:pPr>
        <w:pStyle w:val="Heading2"/>
      </w:pPr>
      <w:r>
        <w:t xml:space="preserve">Expected Outcomes &amp; Significance</w:t>
      </w:r>
    </w:p>
    <w:p>
      <w:pPr>
        <w:pStyle w:val="FirstParagraph"/>
      </w:pPr>
      <w:r>
        <w:t xml:space="preserve">This thesis will deliver three transformative contributions:</w:t>
      </w:r>
    </w:p>
    <w:p>
      <w:pPr>
        <w:numPr>
          <w:ilvl w:val="0"/>
          <w:numId w:val="1003"/>
        </w:numPr>
        <w:pStyle w:val="Compact"/>
      </w:pPr>
      <w:r>
        <w:rPr>
          <w:bCs/>
          <w:b/>
        </w:rPr>
        <w:t xml:space="preserve">Professional Framework:</w:t>
      </w:r>
      <w:r>
        <w:t xml:space="preserve"> </w:t>
      </w:r>
      <w:r>
        <w:t xml:space="preserve">A comprehensive model detailing the Lawyer’s evolving role beyond courtroom advocacy to include community legal education and judicial monitoring.</w:t>
      </w:r>
    </w:p>
    <w:p>
      <w:pPr>
        <w:numPr>
          <w:ilvl w:val="0"/>
          <w:numId w:val="1003"/>
        </w:numPr>
        <w:pStyle w:val="Compact"/>
      </w:pPr>
      <w:r>
        <w:rPr>
          <w:bCs/>
          <w:b/>
        </w:rPr>
        <w:t xml:space="preserve">Policy Blueprints:</w:t>
      </w:r>
      <w:r>
        <w:t xml:space="preserve"> </w:t>
      </w:r>
      <w:r>
        <w:t xml:space="preserve">Actionable recommendations for Baghdad’s Ministry of Justice and Bar Association on training curricula, resource allocation, and safety protocols.</w:t>
      </w:r>
    </w:p>
    <w:p>
      <w:pPr>
        <w:numPr>
          <w:ilvl w:val="0"/>
          <w:numId w:val="1003"/>
        </w:numPr>
        <w:pStyle w:val="Compact"/>
      </w:pPr>
      <w:r>
        <w:rPr>
          <w:bCs/>
          <w:b/>
        </w:rPr>
        <w:t xml:space="preserve">Societal Impact:</w:t>
      </w:r>
      <w:r>
        <w:t xml:space="preserve"> </w:t>
      </w:r>
      <w:r>
        <w:t xml:space="preserve">Evidence linking Lawyer efficacy to public trust—proving that investing in legal professionals directly strengthens social cohesion in post-conflict Iraq.</w:t>
      </w:r>
    </w:p>
    <w:p>
      <w:pPr>
        <w:pStyle w:val="FirstParagraph"/>
      </w:pPr>
      <w:r>
        <w:t xml:space="preserve">Crucially, the research transcends academia. By positioning the Lawyer as a strategic actor, not a passive beneficiary of reform, it aligns with Iraq’s National Strategy for Justice Sector Reform (2021–2030). The findings will be co-developed with Baghdad Bar Association leadership to ensure immediate applicability.</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Description</w:t>
      </w:r>
    </w:p>
    <w:p>
      <w:pPr>
        <w:pStyle w:val="BodyText"/>
      </w:pPr>
      <w:r>
        <w:t xml:space="preserve">Literature Review &amp; Design</w:t>
      </w:r>
    </w:p>
    <w:p>
      <w:pPr>
        <w:pStyle w:val="BodyText"/>
      </w:pPr>
      <w:r>
        <w:t xml:space="preserve">Months 1–2</w:t>
      </w:r>
    </w:p>
    <w:p>
      <w:pPr>
        <w:pStyle w:val="BodyText"/>
      </w:pPr>
      <w:r>
        <w:t xml:space="preserve">Critical analysis of Iraqi legal reforms; finalizing interview protocols with Baghdad Bar Association.</w:t>
      </w:r>
    </w:p>
    <w:p>
      <w:pPr>
        <w:pStyle w:val="BodyText"/>
      </w:pPr>
      <w:r>
        <w:t xml:space="preserve">Data Collection</w:t>
      </w:r>
    </w:p>
    <w:p>
      <w:pPr>
        <w:pStyle w:val="BodyText"/>
      </w:pPr>
      <w:r>
        <w:t xml:space="preserve">Months 3–5</w:t>
      </w:r>
    </w:p>
    <w:p>
      <w:pPr>
        <w:pStyle w:val="BodyText"/>
      </w:pPr>
      <w:r>
        <w:t xml:space="preserve">Conducting interviews/surveys in Baghdad (with security protocols)</w:t>
      </w:r>
    </w:p>
    <w:p>
      <w:pPr>
        <w:pStyle w:val="BodyText"/>
      </w:pPr>
      <w:r>
        <w:t xml:space="preserve">Data Analysis &amp; Drafting</w:t>
      </w:r>
    </w:p>
    <w:p>
      <w:pPr>
        <w:pStyle w:val="BodyText"/>
      </w:pPr>
      <w:r>
        <w:t xml:space="preserve">Months 6–8</w:t>
      </w:r>
    </w:p>
    <w:p>
      <w:pPr>
        <w:pStyle w:val="BodyText"/>
      </w:pPr>
      <w:r>
        <w:t xml:space="preserve">Thematic coding, statistical analysis, and initial thesis chapters</w:t>
      </w:r>
    </w:p>
    <w:p>
      <w:pPr>
        <w:pStyle w:val="BodyText"/>
      </w:pPr>
      <w:r>
        <w:t xml:space="preserve">Stakeholder Review &amp; Finalization</w:t>
      </w:r>
    </w:p>
    <w:p>
      <w:pPr>
        <w:pStyle w:val="BodyText"/>
      </w:pPr>
      <w:r>
        <w:t xml:space="preserve">Months 9–10</w:t>
      </w:r>
    </w:p>
    <w:p>
      <w:pPr>
        <w:pStyle w:val="BodyText"/>
      </w:pPr>
      <w:r>
        <w:t xml:space="preserve">Presentation to Baghdad Bar Association; final revisions</w:t>
      </w:r>
    </w:p>
    <w:bookmarkEnd w:id="26"/>
    <w:bookmarkStart w:id="27" w:name="X569141f48c2cc60a23353134fed6159ad31897e"/>
    <w:p>
      <w:pPr>
        <w:pStyle w:val="Heading2"/>
      </w:pPr>
      <w:r>
        <w:t xml:space="preserve">Conclusion: The Lawyer as Iraq’s Justice Catalyst</w:t>
      </w:r>
    </w:p>
    <w:p>
      <w:pPr>
        <w:pStyle w:val="FirstParagraph"/>
      </w:pPr>
      <w:r>
        <w:t xml:space="preserve">In Iraq Baghdad, where the rule of law has been fractured by war and corruption, the Lawyer is neither a peripheral figure nor an abstract concept—it is the living artery of judicial legitimacy. This thesis recognizes that without strengthening this profession at its most vulnerable point (Baghdad's courts), all other reforms remain theoretical. By documenting how Lawyers navigate danger, bureaucracy, and societal distrust to deliver justice, this research will transform policy conversations from institutional design to human-centered practice. The findings promise not only academic rigor but tangible tools for rebuilding Iraq’s legal identity—one Lawyer at a time. In Baghdad’s journey toward stability, the Lawyer is not just a profession; it is the nation’s most critical instrument for hope.</w:t>
      </w:r>
    </w:p>
    <w:bookmarkEnd w:id="27"/>
    <w:bookmarkStart w:id="28" w:name="references"/>
    <w:p>
      <w:pPr>
        <w:pStyle w:val="Heading2"/>
      </w:pPr>
      <w:r>
        <w:t xml:space="preserve">References</w:t>
      </w:r>
    </w:p>
    <w:p>
      <w:pPr>
        <w:numPr>
          <w:ilvl w:val="0"/>
          <w:numId w:val="1004"/>
        </w:numPr>
        <w:pStyle w:val="Compact"/>
      </w:pPr>
      <w:r>
        <w:t xml:space="preserve">Al-Ali, S. (2018). *The Iraqi Judiciary: Between Reform and Fragmentation*. Baghdad University Press.</w:t>
      </w:r>
    </w:p>
    <w:p>
      <w:pPr>
        <w:numPr>
          <w:ilvl w:val="0"/>
          <w:numId w:val="1004"/>
        </w:numPr>
        <w:pStyle w:val="Compact"/>
      </w:pPr>
      <w:r>
        <w:t xml:space="preserve">International Bar Association. (2021). *Rule of Law in Iraq: Challenges for Legal Professionals*.</w:t>
      </w:r>
    </w:p>
    <w:p>
      <w:pPr>
        <w:numPr>
          <w:ilvl w:val="0"/>
          <w:numId w:val="1004"/>
        </w:numPr>
        <w:pStyle w:val="Compact"/>
      </w:pPr>
      <w:r>
        <w:t xml:space="preserve">UNDP Iraq. (2019). *Justice Sector Assessment Report: Building Trust through Reform*.</w:t>
      </w:r>
    </w:p>
    <w:p>
      <w:pPr>
        <w:numPr>
          <w:ilvl w:val="0"/>
          <w:numId w:val="1004"/>
        </w:numPr>
        <w:pStyle w:val="Compact"/>
      </w:pPr>
      <w:r>
        <w:t xml:space="preserve">Al-Suhaili, R. (2023). "Safety Concerns Among Baghdad Lawyers." *Journal of Middle Eastern Legal Studies*, 7(1), 45–67.</w:t>
      </w:r>
    </w:p>
    <w:p>
      <w:pPr>
        <w:numPr>
          <w:ilvl w:val="0"/>
          <w:numId w:val="1004"/>
        </w:numPr>
        <w:pStyle w:val="Compact"/>
      </w:pPr>
      <w:r>
        <w:t xml:space="preserve">Iraq National Strategy for Justice Sector Reform. (2021). Ministry of Justice, Baghdad.</w:t>
      </w:r>
    </w:p>
    <w:p>
      <w:pPr>
        <w:pStyle w:val="FirstParagraph"/>
      </w:pPr>
      <w:r>
        <w:rPr>
          <w:bCs/>
          <w:b/>
        </w:rPr>
        <w:t xml:space="preserve">Word Count: 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Lawyer in Iraq Baghdad's Judicial Transformation</dc:title>
  <dc:creator/>
  <dc:language>en</dc:language>
  <cp:keywords/>
  <dcterms:created xsi:type="dcterms:W3CDTF">2026-07-23T02:22:02Z</dcterms:created>
  <dcterms:modified xsi:type="dcterms:W3CDTF">2026-07-23T02:22:02Z</dcterms:modified>
</cp:coreProperties>
</file>

<file path=docProps/custom.xml><?xml version="1.0" encoding="utf-8"?>
<Properties xmlns="http://schemas.openxmlformats.org/officeDocument/2006/custom-properties" xmlns:vt="http://schemas.openxmlformats.org/officeDocument/2006/docPropsVTypes"/>
</file>