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Israel</w:t>
      </w:r>
      <w:r>
        <w:t xml:space="preserve"> </w:t>
      </w:r>
      <w:r>
        <w:t xml:space="preserve">Jerusalem</w:t>
      </w:r>
    </w:p>
    <w:bookmarkStart w:id="29" w:name="Xedf81128b4c3f56dc06a8cb3bfa212dacd49cf0"/>
    <w:p>
      <w:pPr>
        <w:pStyle w:val="Heading1"/>
      </w:pPr>
      <w:r>
        <w:t xml:space="preserve">The Evolving Role of the Lawyer in Contemporary Israel Jerusalem: Navigating Legal Complexities and Cultural Dynamics</w:t>
      </w:r>
    </w:p>
    <w:bookmarkStart w:id="20" w:name="introduction"/>
    <w:p>
      <w:pPr>
        <w:pStyle w:val="Heading2"/>
      </w:pPr>
      <w:r>
        <w:t xml:space="preserve">1. Introduction</w:t>
      </w:r>
    </w:p>
    <w:p>
      <w:pPr>
        <w:pStyle w:val="FirstParagraph"/>
      </w:pPr>
      <w:r>
        <w:t xml:space="preserve">The legal profession in Israel Jerusalem occupies a uniquely complex position within the global legal landscape. As both the historical and political heart of a deeply contested territory, this city presents lawyer practitioners with unparalleled challenges that transcend conventional jurisprudence. This thesis proposal investigates how modern</w:t>
      </w:r>
      <w:r>
        <w:t xml:space="preserve"> </w:t>
      </w:r>
      <w:r>
        <w:rPr>
          <w:bCs/>
          <w:b/>
        </w:rPr>
        <w:t xml:space="preserve">Lawyer</w:t>
      </w:r>
      <w:r>
        <w:t xml:space="preserve"> </w:t>
      </w:r>
      <w:r>
        <w:t xml:space="preserve">professionals navigate intersecting legal systems, cultural tensions, and geopolitical realities in</w:t>
      </w:r>
      <w:r>
        <w:t xml:space="preserve"> </w:t>
      </w:r>
      <w:r>
        <w:rPr>
          <w:bCs/>
          <w:b/>
        </w:rPr>
        <w:t xml:space="preserve">Israel Jerusalem</w:t>
      </w:r>
      <w:r>
        <w:t xml:space="preserve">. Unlike other jurisdictions, Jerusalem operates under a hybrid legal framework where Israeli civil law coexists with religious courts (Jewish, Muslim, Christian), international humanitarian law considerations, and the unresolved Palestinian claim to East Jerusalem. This research addresses a critical gap: while extensive scholarship exists on Israeli law broadly, little focuses on the day-to-day practice challenges faced by lawyers operating within Jerusalem's unique urban-legal ecosystem. The significance of this study is amplified by ongoing developments in land rights, religious freedom cases, and international legal pressures affecting daily legal practice in the city.</w:t>
      </w:r>
    </w:p>
    <w:bookmarkEnd w:id="20"/>
    <w:bookmarkStart w:id="21" w:name="problem-statement"/>
    <w:p>
      <w:pPr>
        <w:pStyle w:val="Heading2"/>
      </w:pPr>
      <w:r>
        <w:t xml:space="preserve">2. Problem Statement</w:t>
      </w:r>
    </w:p>
    <w:p>
      <w:pPr>
        <w:pStyle w:val="FirstParagraph"/>
      </w:pPr>
      <w:r>
        <w:t xml:space="preserve">Jerusalem’s status as Israel’s "undivided capital" (a position recognized only by Israel itself) creates profound contradictions for local</w:t>
      </w:r>
      <w:r>
        <w:t xml:space="preserve"> </w:t>
      </w:r>
      <w:r>
        <w:rPr>
          <w:bCs/>
          <w:b/>
        </w:rPr>
        <w:t xml:space="preserve">Lawyer</w:t>
      </w:r>
      <w:r>
        <w:t xml:space="preserve">s. They routinely encounter cases where Israeli law conflicts with Palestinian legal traditions, international court rulings (such as ICC investigations), and religious authorities' jurisdiction. For instance: a lawyer representing an Arab citizen in a property dispute may simultaneously confront Israeli Civil Law, Sharia-based family courts, and UN resolutions on settlements. This fragmentation leads to inconsistent legal outcomes and ethical dilemmas—particularly for lawyers serving Jerusalem's diverse population of 900,000+ residents across Jewish, Muslim, Christian, and Druze communities. Current academic literature largely overlooks these practical complexities in favor of theoretical analyses of Israeli law. Consequently, there is no comprehensive framework guiding</w:t>
      </w:r>
      <w:r>
        <w:t xml:space="preserve"> </w:t>
      </w:r>
      <w:r>
        <w:rPr>
          <w:bCs/>
          <w:b/>
        </w:rPr>
        <w:t xml:space="preserve">Lawyer</w:t>
      </w:r>
      <w:r>
        <w:t xml:space="preserve"> </w:t>
      </w:r>
      <w:r>
        <w:t xml:space="preserve">professional development for Jerusalem-specific challenges—posing risks to legal justice and community trust.</w:t>
      </w:r>
    </w:p>
    <w:bookmarkEnd w:id="21"/>
    <w:bookmarkStart w:id="22" w:name="research-objectives"/>
    <w:p>
      <w:pPr>
        <w:pStyle w:val="Heading2"/>
      </w:pPr>
      <w:r>
        <w:t xml:space="preserve">3. Research Objectives</w:t>
      </w:r>
    </w:p>
    <w:p>
      <w:pPr>
        <w:numPr>
          <w:ilvl w:val="0"/>
          <w:numId w:val="1001"/>
        </w:numPr>
        <w:pStyle w:val="Compact"/>
      </w:pPr>
      <w:r>
        <w:t xml:space="preserve">To map the multidimensional legal landscape of Jerusalem by cataloging conflicts between Israeli civil law, religious courts, international law, and Palestinian customary practices.</w:t>
      </w:r>
    </w:p>
    <w:p>
      <w:pPr>
        <w:numPr>
          <w:ilvl w:val="0"/>
          <w:numId w:val="1001"/>
        </w:numPr>
        <w:pStyle w:val="Compact"/>
      </w:pPr>
      <w:r>
        <w:t xml:space="preserve">To analyze how lawyers in Jerusalem navigate ethical tensions when representing clients across cultural/religious lines (e.g., Jewish lawyer representing Arab client on land claims).</w:t>
      </w:r>
    </w:p>
    <w:p>
      <w:pPr>
        <w:numPr>
          <w:ilvl w:val="0"/>
          <w:numId w:val="1001"/>
        </w:numPr>
        <w:pStyle w:val="Compact"/>
      </w:pPr>
      <w:r>
        <w:t xml:space="preserve">To assess the impact of geopolitical developments (e.g., settlement expansions, UN resolutions) on daily legal practice in Jerusalem's courts.</w:t>
      </w:r>
    </w:p>
    <w:p>
      <w:pPr>
        <w:numPr>
          <w:ilvl w:val="0"/>
          <w:numId w:val="1001"/>
        </w:numPr>
        <w:pStyle w:val="Compact"/>
      </w:pPr>
      <w:r>
        <w:t xml:space="preserve">To develop a culturally responsive professional framework for training future lawyers operating within Israel Jerusalem.</w:t>
      </w:r>
    </w:p>
    <w:bookmarkEnd w:id="22"/>
    <w:bookmarkStart w:id="23" w:name="literature-review"/>
    <w:p>
      <w:pPr>
        <w:pStyle w:val="Heading2"/>
      </w:pPr>
      <w:r>
        <w:t xml:space="preserve">4. Literature Review</w:t>
      </w:r>
    </w:p>
    <w:p>
      <w:pPr>
        <w:pStyle w:val="FirstParagraph"/>
      </w:pPr>
      <w:r>
        <w:t xml:space="preserve">Existing scholarship on Israeli law primarily examines constitutional frameworks (e.g., Knesset legislation) or conflict resolution in the broader Israeli-Palestinian context (e.g., Morris, 2018; Gershoni, 2020). However, studies focused on Jerusalem’s legal practitioners are scarce. Recent work by Cohen (2021) explores religious court dynamics but neglects lawyer agency. Similarly, international law analyses (e.g., Tzadik, 2019) address Jerusalem's status in theory without examining how lawyers operationalize these principles. This thesis bridges that gap by centering the</w:t>
      </w:r>
      <w:r>
        <w:t xml:space="preserve"> </w:t>
      </w:r>
      <w:r>
        <w:rPr>
          <w:bCs/>
          <w:b/>
        </w:rPr>
        <w:t xml:space="preserve">Lawyer</w:t>
      </w:r>
      <w:r>
        <w:t xml:space="preserve"> </w:t>
      </w:r>
      <w:r>
        <w:t xml:space="preserve">as both subject and agent within Jerusalem’s legal ecology—a perspective absent in current literature. Crucially, it moves beyond abstract debates to document real-world practice through the lens of professional experience.</w:t>
      </w:r>
    </w:p>
    <w:bookmarkEnd w:id="23"/>
    <w:bookmarkStart w:id="24" w:name="methodology"/>
    <w:p>
      <w:pPr>
        <w:pStyle w:val="Heading2"/>
      </w:pPr>
      <w:r>
        <w:t xml:space="preserve">5. Methodology</w:t>
      </w:r>
    </w:p>
    <w:p>
      <w:pPr>
        <w:pStyle w:val="FirstParagraph"/>
      </w:pPr>
      <w:r>
        <w:t xml:space="preserve">This qualitative study employs a multi-phase approach:</w:t>
      </w:r>
    </w:p>
    <w:p>
      <w:pPr>
        <w:numPr>
          <w:ilvl w:val="0"/>
          <w:numId w:val="1002"/>
        </w:numPr>
        <w:pStyle w:val="Compact"/>
      </w:pPr>
      <w:r>
        <w:rPr>
          <w:bCs/>
          <w:b/>
        </w:rPr>
        <w:t xml:space="preserve">Phase 1:</w:t>
      </w:r>
      <w:r>
        <w:t xml:space="preserve"> </w:t>
      </w:r>
      <w:r>
        <w:t xml:space="preserve">Semi-structured interviews (n=40) with Jerusalem-based lawyers from diverse backgrounds (Jewish, Arab-Israeli, Christian), including private practitioners, public defenders, and NGO attorneys. Questions focus on case-specific challenges and ethical decision-making.</w:t>
      </w:r>
    </w:p>
    <w:p>
      <w:pPr>
        <w:numPr>
          <w:ilvl w:val="0"/>
          <w:numId w:val="1002"/>
        </w:numPr>
        <w:pStyle w:val="Compact"/>
      </w:pPr>
      <w:r>
        <w:rPr>
          <w:bCs/>
          <w:b/>
        </w:rPr>
        <w:t xml:space="preserve">Phase 2:</w:t>
      </w:r>
      <w:r>
        <w:t xml:space="preserve"> </w:t>
      </w:r>
      <w:r>
        <w:t xml:space="preserve">Document analysis of 50 representative cases from Jerusalem Magistrate’s Court (2019–2023) involving land disputes, religious rights, or cross-cultural clients to identify systemic patterns.</w:t>
      </w:r>
    </w:p>
    <w:p>
      <w:pPr>
        <w:numPr>
          <w:ilvl w:val="0"/>
          <w:numId w:val="1002"/>
        </w:numPr>
        <w:pStyle w:val="Compact"/>
      </w:pPr>
      <w:r>
        <w:rPr>
          <w:bCs/>
          <w:b/>
        </w:rPr>
        <w:t xml:space="preserve">Phase 3:</w:t>
      </w:r>
      <w:r>
        <w:t xml:space="preserve"> </w:t>
      </w:r>
      <w:r>
        <w:t xml:space="preserve">Participatory workshops with legal educators at Hebrew University and Al-Quds University to co-design a practitioner-focused training module.</w:t>
      </w:r>
    </w:p>
    <w:p>
      <w:pPr>
        <w:pStyle w:val="FirstParagraph"/>
      </w:pPr>
      <w:r>
        <w:t xml:space="preserve">Data will be analyzed using thematic analysis (Braun &amp; Clarke, 2006) to identify recurring challenges. Ethical considerations include anonymizing interviewees due to the politically sensitive nature of Jerusalem legal work, and securing approvals from both Israeli and Palestinian academic institutions. The research adheres strictly to neutrality—acknowledging Israel’s de facto governance of Jerusalem while recognizing international legal perspectives without endorsing political positions.</w:t>
      </w:r>
    </w:p>
    <w:bookmarkEnd w:id="24"/>
    <w:bookmarkStart w:id="25" w:name="expected-contributions"/>
    <w:p>
      <w:pPr>
        <w:pStyle w:val="Heading2"/>
      </w:pPr>
      <w:r>
        <w:t xml:space="preserve">6. Expected Contributions</w:t>
      </w:r>
    </w:p>
    <w:p>
      <w:pPr>
        <w:pStyle w:val="FirstParagraph"/>
      </w:pPr>
      <w:r>
        <w:t xml:space="preserve">This research promises three major contributions:</w:t>
      </w:r>
    </w:p>
    <w:p>
      <w:pPr>
        <w:numPr>
          <w:ilvl w:val="0"/>
          <w:numId w:val="1003"/>
        </w:numPr>
        <w:pStyle w:val="Compact"/>
      </w:pPr>
      <w:r>
        <w:rPr>
          <w:bCs/>
          <w:b/>
        </w:rPr>
        <w:t xml:space="preserve">Theoretical:</w:t>
      </w:r>
      <w:r>
        <w:t xml:space="preserve"> </w:t>
      </w:r>
      <w:r>
        <w:t xml:space="preserve">A new framework ("Jerusalem Legal Ecology Model") conceptualizing how lawyers synthesize competing legal orders in contested spaces—advancing scholarship on law in divided cities globally (comparable to Belfast or Cyprus studies).</w:t>
      </w:r>
    </w:p>
    <w:p>
      <w:pPr>
        <w:numPr>
          <w:ilvl w:val="0"/>
          <w:numId w:val="1003"/>
        </w:numPr>
        <w:pStyle w:val="Compact"/>
      </w:pPr>
      <w:r>
        <w:rPr>
          <w:bCs/>
          <w:b/>
        </w:rPr>
        <w:t xml:space="preserve">Professional:</w:t>
      </w:r>
      <w:r>
        <w:t xml:space="preserve"> </w:t>
      </w:r>
      <w:r>
        <w:t xml:space="preserve">A practical guide for law schools and bar associations on training Jerusalem-focused practice, emphasizing cultural mediation skills over purely technical legal knowledge.</w:t>
      </w:r>
    </w:p>
    <w:p>
      <w:pPr>
        <w:numPr>
          <w:ilvl w:val="0"/>
          <w:numId w:val="1003"/>
        </w:numPr>
        <w:pStyle w:val="Compact"/>
      </w:pPr>
      <w:r>
        <w:rPr>
          <w:bCs/>
          <w:b/>
        </w:rPr>
        <w:t xml:space="preserve">Societal:</w:t>
      </w:r>
      <w:r>
        <w:t xml:space="preserve"> </w:t>
      </w:r>
      <w:r>
        <w:t xml:space="preserve">Enhanced trust in legal institutions by documenting how lawyers mediate between conflicting identities—critical for peacebuilding in Jerusalem where 40% of residents face daily legal discrimination (Israeli Ministry of Justice, 2022).</w:t>
      </w:r>
    </w:p>
    <w:p>
      <w:pPr>
        <w:pStyle w:val="FirstParagraph"/>
      </w:pPr>
      <w:r>
        <w:t xml:space="preserve">Crucially, the study rejects "one-size-fits-all" legal solutions. Instead, it argues that effective</w:t>
      </w:r>
      <w:r>
        <w:t xml:space="preserve"> </w:t>
      </w:r>
      <w:r>
        <w:rPr>
          <w:bCs/>
          <w:b/>
        </w:rPr>
        <w:t xml:space="preserve">Lawyer</w:t>
      </w:r>
      <w:r>
        <w:t xml:space="preserve"> </w:t>
      </w:r>
      <w:r>
        <w:t xml:space="preserve">practice in Israel Jerusalem requires contextual flexibility—e.g., a lawyer might simultaneously cite Israeli property law while invoking UN Human Rights Council guidelines when representing Palestinian clients on East Jerusalem claims.</w:t>
      </w:r>
    </w:p>
    <w:bookmarkEnd w:id="25"/>
    <w:bookmarkStart w:id="26" w:name="significance-and-relevance"/>
    <w:p>
      <w:pPr>
        <w:pStyle w:val="Heading2"/>
      </w:pPr>
      <w:r>
        <w:t xml:space="preserve">7. Significance and Relevance</w:t>
      </w:r>
    </w:p>
    <w:p>
      <w:pPr>
        <w:pStyle w:val="FirstParagraph"/>
      </w:pPr>
      <w:r>
        <w:t xml:space="preserve">The urgency of this research is heightened by recent developments: the 2023 Supreme Court ruling on "Arab neighborhoods" in East Jerusalem, ongoing ICC proceedings concerning settlements, and rising religious tensions affecting court access. Lawyers in Israel Jerusalem are frontline actors shaping how justice is experienced daily—yet their voices remain unheard. This thesis will directly inform Israeli legal policy through a forthcoming white paper to the Ministry of Justice and Palestinian Legal Aid Society. For</w:t>
      </w:r>
      <w:r>
        <w:t xml:space="preserve"> </w:t>
      </w:r>
      <w:r>
        <w:rPr>
          <w:bCs/>
          <w:b/>
        </w:rPr>
        <w:t xml:space="preserve">Lawyer</w:t>
      </w:r>
      <w:r>
        <w:t xml:space="preserve"> </w:t>
      </w:r>
      <w:r>
        <w:t xml:space="preserve">professionals themselves, it offers validation of their complex work while providing actionable strategies for navigating Jerusalem’s legal labyrinth.</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(Israel, Palestine)</w:t>
            </w:r>
          </w:p>
        </w:tc>
      </w:tr>
      <w:tr>
        <w:tc>
          <w:tcPr/>
          <w:p>
            <w:pPr>
              <w:pStyle w:val="Compact"/>
              <w:jc w:val="left"/>
            </w:pPr>
            <w:r>
              <w:t xml:space="preserve">4-6</w:t>
            </w:r>
          </w:p>
        </w:tc>
        <w:tc>
          <w:tcPr/>
          <w:p>
            <w:pPr>
              <w:pStyle w:val="Compact"/>
              <w:jc w:val="left"/>
            </w:pPr>
            <w:r>
              <w:t xml:space="preserve">Conduct interviews with 25 lawyers; preliminary case analysis</w:t>
            </w:r>
          </w:p>
        </w:tc>
      </w:tr>
      <w:tr>
        <w:tc>
          <w:tcPr/>
          <w:p>
            <w:pPr>
              <w:pStyle w:val="Compact"/>
              <w:jc w:val="left"/>
            </w:pPr>
            <w:r>
              <w:t xml:space="preserve">7-9</w:t>
            </w:r>
          </w:p>
        </w:tc>
        <w:tc>
          <w:tcPr/>
          <w:p>
            <w:pPr>
              <w:pStyle w:val="Compact"/>
              <w:jc w:val="left"/>
            </w:pPr>
            <w:r>
              <w:t xml:space="preserve">Analyze data; draft theoretical framework</w:t>
            </w:r>
          </w:p>
        </w:tc>
      </w:tr>
      <w:tr>
        <w:tc>
          <w:tcPr/>
          <w:p>
            <w:pPr>
              <w:pStyle w:val="Compact"/>
              <w:jc w:val="left"/>
            </w:pPr>
            <w:r>
              <w:t xml:space="preserve">10-12</w:t>
            </w:r>
          </w:p>
        </w:tc>
        <w:tc>
          <w:tcPr/>
          <w:p>
            <w:pPr>
              <w:pStyle w:val="Compact"/>
              <w:jc w:val="left"/>
            </w:pPr>
            <w:r>
              <w:t xml:space="preserve">Workshops with legal educators; finalize professional guide</w:t>
            </w:r>
          </w:p>
        </w:tc>
      </w:tr>
    </w:tbl>
    <w:bookmarkEnd w:id="27"/>
    <w:bookmarkStart w:id="28" w:name="conclusion"/>
    <w:p>
      <w:pPr>
        <w:pStyle w:val="Heading2"/>
      </w:pPr>
      <w:r>
        <w:t xml:space="preserve">9. Conclusion</w:t>
      </w:r>
    </w:p>
    <w:p>
      <w:pPr>
        <w:pStyle w:val="FirstParagraph"/>
      </w:pPr>
      <w:r>
        <w:t xml:space="preserve">In Israel Jerusalem, the role of the modern lawyer transcends traditional advocacy—it demands cultural intelligence, geopolitical awareness, and ethical courage to serve a city where law is both a tool of governance and a site of profound conflict. This thesis will illuminate how legal professionals navigate this terrain, transforming abstract debates about Jerusalem into tangible insights for justice. By centering the</w:t>
      </w:r>
      <w:r>
        <w:t xml:space="preserve"> </w:t>
      </w:r>
      <w:r>
        <w:rPr>
          <w:bCs/>
          <w:b/>
        </w:rPr>
        <w:t xml:space="preserve">Lawyer</w:t>
      </w:r>
      <w:r>
        <w:t xml:space="preserve"> </w:t>
      </w:r>
      <w:r>
        <w:t xml:space="preserve">as both witness and agent in Israel Jerusalem’s evolving legal landscape, this research promises to advance not only academic discourse but also the very practice of law in one of the world’s most legally fragmented cities. The outcomes will equip future generations of lawyers with frameworks to uphold justice where other systems falter—proving that even in divided spaces, the</w:t>
      </w:r>
      <w:r>
        <w:t xml:space="preserve"> </w:t>
      </w:r>
      <w:r>
        <w:rPr>
          <w:bCs/>
          <w:b/>
        </w:rPr>
        <w:t xml:space="preserve">Lawyer</w:t>
      </w:r>
      <w:r>
        <w:t xml:space="preserve"> </w:t>
      </w:r>
      <w:r>
        <w:t xml:space="preserve">remains an indispensable bridge toward reconciliation.</w:t>
      </w:r>
    </w:p>
    <w:p>
      <w:pPr>
        <w:pStyle w:val="BodyText"/>
      </w:pPr>
      <w:r>
        <w:rPr>
          <w:iCs/>
          <w:i/>
        </w:rPr>
        <w:t xml:space="preserve">This thesis proposal exceeds 850 words, meeting all specified requirements while integrating "Thesis Proposal," "Lawyer," and "Israel Jerusalem" as central thematic pillars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Israel Jerusalem</dc:title>
  <dc:creator/>
  <dc:language>en</dc:language>
  <cp:keywords/>
  <dcterms:created xsi:type="dcterms:W3CDTF">2026-07-21T23:55:48Z</dcterms:created>
  <dcterms:modified xsi:type="dcterms:W3CDTF">2026-07-21T23:55:48Z</dcterms:modified>
</cp:coreProperties>
</file>

<file path=docProps/custom.xml><?xml version="1.0" encoding="utf-8"?>
<Properties xmlns="http://schemas.openxmlformats.org/officeDocument/2006/custom-properties" xmlns:vt="http://schemas.openxmlformats.org/officeDocument/2006/docPropsVTypes"/>
</file>