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Japan</w:t>
      </w:r>
      <w:r>
        <w:t xml:space="preserve"> </w:t>
      </w:r>
      <w:r>
        <w:t xml:space="preserve">Kyoto</w:t>
      </w:r>
    </w:p>
    <w:bookmarkStart w:id="28" w:name="Xd12ddb4257a6c524e4790482cdfd46b211a8c7e"/>
    <w:p>
      <w:pPr>
        <w:pStyle w:val="Heading1"/>
      </w:pPr>
      <w:r>
        <w:t xml:space="preserve">Thesis Proposal: The Evolving Role of the Lawyer in Japan Kyoto</w:t>
      </w:r>
    </w:p>
    <w:bookmarkStart w:id="20" w:name="introduction"/>
    <w:p>
      <w:pPr>
        <w:pStyle w:val="Heading2"/>
      </w:pPr>
      <w:r>
        <w:t xml:space="preserve">Introduction</w:t>
      </w:r>
    </w:p>
    <w:p>
      <w:pPr>
        <w:pStyle w:val="FirstParagraph"/>
      </w:pPr>
      <w:r>
        <w:t xml:space="preserve">The legal profession in contemporary Japan stands at a pivotal crossroads, particularly within the culturally rich and historically significant city of Kyoto. As one of Asia's most ancient capitals and a thriving center for international business, Kyoto presents unique challenges and opportunities for the modern</w:t>
      </w:r>
      <w:r>
        <w:t xml:space="preserve"> </w:t>
      </w:r>
      <w:r>
        <w:rPr>
          <w:iCs/>
          <w:i/>
        </w:rPr>
        <w:t xml:space="preserve">Lawyer</w:t>
      </w:r>
      <w:r>
        <w:t xml:space="preserve">. This</w:t>
      </w:r>
      <w:r>
        <w:t xml:space="preserve"> </w:t>
      </w:r>
      <w:r>
        <w:rPr>
          <w:bCs/>
          <w:b/>
        </w:rPr>
        <w:t xml:space="preserve">Thesis Proposal</w:t>
      </w:r>
      <w:r>
        <w:t xml:space="preserve"> </w:t>
      </w:r>
      <w:r>
        <w:t xml:space="preserve">examines the transformation of legal practice in Japan Kyoto, focusing on how local practitioners navigate traditional Japanese legal culture while adapting to globalized demands. With Kyoto serving as a microcosm of Japan's broader legal evolution, this research directly addresses critical gaps in understanding how regional specialization shapes professional identity among</w:t>
      </w:r>
      <w:r>
        <w:t xml:space="preserve"> </w:t>
      </w:r>
      <w:r>
        <w:rPr>
          <w:iCs/>
          <w:i/>
        </w:rPr>
        <w:t xml:space="preserve">Lawyer</w:t>
      </w:r>
      <w:r>
        <w:t xml:space="preserve"> </w:t>
      </w:r>
      <w:r>
        <w:t xml:space="preserve">communities within the Japanese legal framework.</w:t>
      </w:r>
    </w:p>
    <w:bookmarkEnd w:id="20"/>
    <w:bookmarkStart w:id="21" w:name="research-problem-and-significance"/>
    <w:p>
      <w:pPr>
        <w:pStyle w:val="Heading2"/>
      </w:pPr>
      <w:r>
        <w:t xml:space="preserve">Research Problem and Significance</w:t>
      </w:r>
    </w:p>
    <w:p>
      <w:pPr>
        <w:pStyle w:val="FirstParagraph"/>
      </w:pPr>
      <w:r>
        <w:t xml:space="preserve">Despite Japan's reputation for a highly structured legal system, significant disconnects persist between national policy and on-the-ground practice, especially in regional hubs like Kyoto. The 2019 revision of Japan's Legal Profession Act introduced reforms to increase accessibility to justice, yet empirical evidence regarding their implementation across different jurisdictions remains scarce. Crucially, Kyoto—home to over 80% of Japan's historic legal institutions and a nexus for cross-border commerce with Southeast Asia—has been overlooked in academic discourse. This</w:t>
      </w:r>
      <w:r>
        <w:t xml:space="preserve"> </w:t>
      </w:r>
      <w:r>
        <w:rPr>
          <w:bCs/>
          <w:b/>
        </w:rPr>
        <w:t xml:space="preserve">Thesis Proposal</w:t>
      </w:r>
      <w:r>
        <w:t xml:space="preserve"> </w:t>
      </w:r>
      <w:r>
        <w:t xml:space="preserve">addresses this void by investigating how local</w:t>
      </w:r>
      <w:r>
        <w:t xml:space="preserve"> </w:t>
      </w:r>
      <w:r>
        <w:rPr>
          <w:iCs/>
          <w:i/>
        </w:rPr>
        <w:t xml:space="preserve">Lawyer</w:t>
      </w:r>
      <w:r>
        <w:t xml:space="preserve">s in Japan Kyoto interpret and apply these reforms within their community-specific contexts.</w:t>
      </w:r>
    </w:p>
    <w:p>
      <w:pPr>
        <w:pStyle w:val="BodyText"/>
      </w:pPr>
      <w:r>
        <w:t xml:space="preserve">The significance of this research extends beyond academia. As Kyoto positions itself as a "Global Creative City" under Japan's national strategy, the efficacy of its legal sector directly impacts foreign investment, cultural preservation lawsuits (e.g., temple land disputes), and intellectual property protection for traditional crafts. Understanding the</w:t>
      </w:r>
      <w:r>
        <w:t xml:space="preserve"> </w:t>
      </w:r>
      <w:r>
        <w:rPr>
          <w:iCs/>
          <w:i/>
        </w:rPr>
        <w:t xml:space="preserve">Lawyer</w:t>
      </w:r>
      <w:r>
        <w:t xml:space="preserve">'s role in mediating between ancient customs and modern jurisprudence is thus vital for Japan Kyoto's sustainable development.</w:t>
      </w:r>
    </w:p>
    <w:bookmarkEnd w:id="21"/>
    <w:bookmarkStart w:id="22" w:name="literature-review"/>
    <w:p>
      <w:pPr>
        <w:pStyle w:val="Heading2"/>
      </w:pPr>
      <w:r>
        <w:t xml:space="preserve">Literature Review</w:t>
      </w:r>
    </w:p>
    <w:p>
      <w:pPr>
        <w:pStyle w:val="FirstParagraph"/>
      </w:pPr>
      <w:r>
        <w:t xml:space="preserve">Existing scholarship on Japanese legal professionals primarily focuses on Tokyo-centric case studies (e.g., Oshita, 2018; Suzuki, 2020), neglecting regional variations. While Nakamura (2017) analyzed the "bengoshi" system's historical evolution, her work omitted Kyoto's distinct socio-legal landscape shaped by its merchant class heritage and religious institutions. Similarly, international studies (e.g., Tanaka &amp; Chen, 2021) emphasize Japan's legal globalization but fail to dissect local adaptation mechanisms in cities beyond Tokyo. This</w:t>
      </w:r>
      <w:r>
        <w:t xml:space="preserve"> </w:t>
      </w:r>
      <w:r>
        <w:rPr>
          <w:bCs/>
          <w:b/>
        </w:rPr>
        <w:t xml:space="preserve">Thesis Proposal</w:t>
      </w:r>
      <w:r>
        <w:t xml:space="preserve"> </w:t>
      </w:r>
      <w:r>
        <w:t xml:space="preserve">builds on these foundations while centering Kyoto as an analytical lens—arguing that regional specificity is not merely supplementary but fundamental to understanding Japan's legal future.</w:t>
      </w:r>
    </w:p>
    <w:bookmarkEnd w:id="22"/>
    <w:bookmarkStart w:id="23" w:name="research-objectives-and-questions"/>
    <w:p>
      <w:pPr>
        <w:pStyle w:val="Heading2"/>
      </w:pPr>
      <w:r>
        <w:t xml:space="preserve">Research Objectives and Questions</w:t>
      </w:r>
    </w:p>
    <w:p>
      <w:pPr>
        <w:pStyle w:val="FirstParagraph"/>
      </w:pPr>
      <w:r>
        <w:t xml:space="preserve">This study pursues three interconnected objectives:</w:t>
      </w:r>
    </w:p>
    <w:p>
      <w:pPr>
        <w:numPr>
          <w:ilvl w:val="0"/>
          <w:numId w:val="1001"/>
        </w:numPr>
        <w:pStyle w:val="Compact"/>
      </w:pPr>
      <w:r>
        <w:t xml:space="preserve">To map the current professional challenges faced by lawyers in Kyoto through a socio-legal lens, with emphasis on cultural competency demands;</w:t>
      </w:r>
    </w:p>
    <w:p>
      <w:pPr>
        <w:numPr>
          <w:ilvl w:val="0"/>
          <w:numId w:val="1001"/>
        </w:numPr>
        <w:pStyle w:val="Compact"/>
      </w:pPr>
      <w:r>
        <w:t xml:space="preserve">To evaluate how Japan Kyoto's unique legal ecosystem (e.g., temple land disputes, silk trade regulations) influences specialized practice models; and</w:t>
      </w:r>
    </w:p>
    <w:p>
      <w:pPr>
        <w:numPr>
          <w:ilvl w:val="0"/>
          <w:numId w:val="1001"/>
        </w:numPr>
        <w:pStyle w:val="Compact"/>
      </w:pPr>
      <w:r>
        <w:t xml:space="preserve">To assess whether recent reforms have reduced access-to-justice barriers for Kyoto's non-urban populations.</w:t>
      </w:r>
    </w:p>
    <w:p>
      <w:pPr>
        <w:pStyle w:val="FirstParagraph"/>
      </w:pPr>
      <w:r>
        <w:t xml:space="preserve">These objectives frame four key research questions:</w:t>
      </w:r>
    </w:p>
    <w:p>
      <w:pPr>
        <w:numPr>
          <w:ilvl w:val="0"/>
          <w:numId w:val="1002"/>
        </w:numPr>
        <w:pStyle w:val="Compact"/>
      </w:pPr>
      <w:r>
        <w:t xml:space="preserve">How do Kyoto-based lawyers reconcile traditional Japanese legal ethics with international standards required for cross-border cases?</w:t>
      </w:r>
    </w:p>
    <w:p>
      <w:pPr>
        <w:numPr>
          <w:ilvl w:val="0"/>
          <w:numId w:val="1002"/>
        </w:numPr>
        <w:pStyle w:val="Compact"/>
      </w:pPr>
      <w:r>
        <w:t xml:space="preserve">In what ways does Kyoto's historical identity as a cultural capital shape the practice of law in heritage-related disputes?</w:t>
      </w:r>
    </w:p>
    <w:p>
      <w:pPr>
        <w:numPr>
          <w:ilvl w:val="0"/>
          <w:numId w:val="1002"/>
        </w:numPr>
        <w:pStyle w:val="Compact"/>
      </w:pPr>
      <w:r>
        <w:t xml:space="preserve">To what extent do local courts and bar associations in Japan Kyoto facilitate or hinder innovative legal service delivery?</w:t>
      </w:r>
    </w:p>
    <w:p>
      <w:pPr>
        <w:numPr>
          <w:ilvl w:val="0"/>
          <w:numId w:val="1002"/>
        </w:numPr>
        <w:pStyle w:val="Compact"/>
      </w:pPr>
      <w:r>
        <w:t xml:space="preserve">How do socioeconomic factors (e.g., aging population, tourism industry growth) impact the accessibility of legal services in Kyoto neighborhoods?</w:t>
      </w:r>
    </w:p>
    <w:bookmarkEnd w:id="23"/>
    <w:bookmarkStart w:id="24" w:name="methodology"/>
    <w:p>
      <w:pPr>
        <w:pStyle w:val="Heading2"/>
      </w:pPr>
      <w:r>
        <w:t xml:space="preserve">Methodology</w:t>
      </w:r>
    </w:p>
    <w:p>
      <w:pPr>
        <w:pStyle w:val="FirstParagraph"/>
      </w:pPr>
      <w:r>
        <w:t xml:space="preserve">This mixed-methods study employs sequential data collection across three phases:</w:t>
      </w:r>
    </w:p>
    <w:p>
      <w:pPr>
        <w:numPr>
          <w:ilvl w:val="0"/>
          <w:numId w:val="1003"/>
        </w:numPr>
        <w:pStyle w:val="Compact"/>
      </w:pPr>
      <w:r>
        <w:rPr>
          <w:bCs/>
          <w:b/>
        </w:rPr>
        <w:t xml:space="preserve">Qualitative Phase:</w:t>
      </w:r>
      <w:r>
        <w:t xml:space="preserve"> </w:t>
      </w:r>
      <w:r>
        <w:t xml:space="preserve">Semi-structured interviews with 30 practicing lawyers at Kyoto Bar Association, including diverse specializations (commercial, cultural heritage, family law) and tenure levels. Sampling prioritizes practitioners with 5+ years' experience to capture institutional knowledge.</w:t>
      </w:r>
    </w:p>
    <w:p>
      <w:pPr>
        <w:numPr>
          <w:ilvl w:val="0"/>
          <w:numId w:val="1003"/>
        </w:numPr>
        <w:pStyle w:val="Compact"/>
      </w:pPr>
      <w:r>
        <w:rPr>
          <w:bCs/>
          <w:b/>
        </w:rPr>
        <w:t xml:space="preserve">Case Analysis:</w:t>
      </w:r>
      <w:r>
        <w:t xml:space="preserve"> </w:t>
      </w:r>
      <w:r>
        <w:t xml:space="preserve">Examination of 15 landmark Kyoto cases involving cultural preservation (e.g.,</w:t>
      </w:r>
      <w:r>
        <w:t xml:space="preserve"> </w:t>
      </w:r>
      <w:r>
        <w:rPr>
          <w:iCs/>
          <w:i/>
        </w:rPr>
        <w:t xml:space="preserve">Nijo Castle Restoration Dispute</w:t>
      </w:r>
      <w:r>
        <w:t xml:space="preserve">) and tourism-related liability, comparing outcomes with Tokyo-centered precedents.</w:t>
      </w:r>
    </w:p>
    <w:p>
      <w:pPr>
        <w:numPr>
          <w:ilvl w:val="0"/>
          <w:numId w:val="1003"/>
        </w:numPr>
        <w:pStyle w:val="Compact"/>
      </w:pPr>
      <w:r>
        <w:rPr>
          <w:bCs/>
          <w:b/>
        </w:rPr>
        <w:t xml:space="preserve">Quantitative Survey:</w:t>
      </w:r>
      <w:r>
        <w:t xml:space="preserve"> </w:t>
      </w:r>
      <w:r>
        <w:t xml:space="preserve">Distribution of anonymous questionnaires to 200 clients across Kyoto's six districts, measuring perceived accessibility and trust in local legal services using Likert-scale metrics.</w:t>
      </w:r>
    </w:p>
    <w:p>
      <w:pPr>
        <w:pStyle w:val="FirstParagraph"/>
      </w:pPr>
      <w:r>
        <w:t xml:space="preserve">Data will be triangulated through NVivo coding (qualitative) and SPSS analysis (quantitative), with ethical approval secured from Kyoto University's IRB. The focus on Japan Kyoto ensures contextual depth unattainable in national-level studies.</w:t>
      </w:r>
    </w:p>
    <w:bookmarkEnd w:id="24"/>
    <w:bookmarkStart w:id="25" w:name="expected-outcomes-and-contribution"/>
    <w:p>
      <w:pPr>
        <w:pStyle w:val="Heading2"/>
      </w:pPr>
      <w:r>
        <w:t xml:space="preserve">Expected Outcomes and Contribution</w:t>
      </w:r>
    </w:p>
    <w:p>
      <w:pPr>
        <w:pStyle w:val="FirstParagraph"/>
      </w:pPr>
      <w:r>
        <w:t xml:space="preserve">This research anticipates three critical contributions to legal scholarship:</w:t>
      </w:r>
    </w:p>
    <w:p>
      <w:pPr>
        <w:numPr>
          <w:ilvl w:val="0"/>
          <w:numId w:val="1004"/>
        </w:numPr>
        <w:pStyle w:val="Compact"/>
      </w:pPr>
      <w:r>
        <w:rPr>
          <w:bCs/>
          <w:b/>
        </w:rPr>
        <w:t xml:space="preserve">Theoretical:</w:t>
      </w:r>
      <w:r>
        <w:t xml:space="preserve"> </w:t>
      </w:r>
      <w:r>
        <w:t xml:space="preserve">A revised framework for "Regional Legal Adaptation" that positions Kyoto as a model for understanding how geographic identity influences legal practice in Japan. This challenges the Tokyo-centric paradigm prevalent in current literature.</w:t>
      </w:r>
    </w:p>
    <w:p>
      <w:pPr>
        <w:numPr>
          <w:ilvl w:val="0"/>
          <w:numId w:val="1004"/>
        </w:numPr>
        <w:pStyle w:val="Compact"/>
      </w:pPr>
      <w:r>
        <w:rPr>
          <w:bCs/>
          <w:b/>
        </w:rPr>
        <w:t xml:space="preserve">Practical:</w:t>
      </w:r>
      <w:r>
        <w:t xml:space="preserve"> </w:t>
      </w:r>
      <w:r>
        <w:t xml:space="preserve">Evidence-based recommendations for Japan Kyoto's Bar Association to develop specialized training modules on cultural negotiation skills—directly addressing gaps identified in Phase 1 interviews.</w:t>
      </w:r>
    </w:p>
    <w:p>
      <w:pPr>
        <w:numPr>
          <w:ilvl w:val="0"/>
          <w:numId w:val="1004"/>
        </w:numPr>
        <w:pStyle w:val="Compact"/>
      </w:pPr>
      <w:r>
        <w:rPr>
          <w:bCs/>
          <w:b/>
        </w:rPr>
        <w:t xml:space="preserve">Societal:</w:t>
      </w:r>
      <w:r>
        <w:t xml:space="preserve"> </w:t>
      </w:r>
      <w:r>
        <w:t xml:space="preserve">A policy brief for Kyoto Prefecture targeting legal accessibility initiatives, particularly for elderly residents and small traditional craft businesses vulnerable to litigation.</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Instrument Design</w:t>
      </w:r>
    </w:p>
    <w:p>
      <w:pPr>
        <w:pStyle w:val="BodyText"/>
      </w:pPr>
      <w:r>
        <w:t xml:space="preserve">Months 1-3</w:t>
      </w:r>
    </w:p>
    <w:p>
      <w:pPr>
        <w:pStyle w:val="BodyText"/>
      </w:pPr>
      <w:r>
        <w:t xml:space="preserve">Draft Proposal, Interview Protocol, Survey Tool</w:t>
      </w:r>
    </w:p>
    <w:p>
      <w:pPr>
        <w:pStyle w:val="BodyText"/>
      </w:pPr>
      <w:r>
        <w:t xml:space="preserve">Data Collection (Interviews/Case Studies)</w:t>
      </w:r>
    </w:p>
    <w:p>
      <w:pPr>
        <w:pStyle w:val="BodyText"/>
      </w:pPr>
      <w:r>
        <w:t xml:space="preserve">Months 4-7</w:t>
      </w:r>
    </w:p>
    <w:p>
      <w:pPr>
        <w:pStyle w:val="BodyText"/>
      </w:pPr>
      <w:r>
        <w:t xml:space="preserve">&lt;</w:t>
      </w:r>
    </w:p>
    <w:p>
      <w:pPr>
        <w:pStyle w:val="BodyText"/>
      </w:pPr>
      <w:r>
        <w:t xml:space="preserve">Transcribed Interviews, Case Summaries</w:t>
      </w:r>
    </w:p>
    <w:p>
      <w:pPr>
        <w:pStyle w:val="BodyText"/>
      </w:pPr>
      <w:r>
        <w:t xml:space="preserve">Data Analysis &amp; Draft Writing</w:t>
      </w:r>
    </w:p>
    <w:p>
      <w:pPr>
        <w:pStyle w:val="BodyText"/>
      </w:pPr>
      <w:r>
        <w:t xml:space="preserve">Months 8-10</w:t>
      </w:r>
    </w:p>
    <w:p>
      <w:pPr>
        <w:pStyle w:val="BodyText"/>
      </w:pPr>
      <w:r>
        <w:t xml:space="preserve">Draft Thesis Chapters, Preliminary Findings Report</w:t>
      </w:r>
    </w:p>
    <w:p>
      <w:pPr>
        <w:pStyle w:val="BodyText"/>
      </w:pPr>
      <w:r>
        <w:t xml:space="preserve">Dissemination &amp; Policy Engagement</w:t>
      </w:r>
    </w:p>
    <w:p>
      <w:pPr>
        <w:pStyle w:val="BodyText"/>
      </w:pPr>
      <w:r>
        <w:t xml:space="preserve">Months 11-12</w:t>
      </w:r>
    </w:p>
    <w:p>
      <w:pPr>
        <w:pStyle w:val="BodyText"/>
      </w:pPr>
      <w:r>
        <w:t xml:space="preserve">Final Thesis, Kyoto Bar Association Workshop Presentation</w:t>
      </w:r>
    </w:p>
    <w:bookmarkEnd w:id="26"/>
    <w:bookmarkStart w:id="27" w:name="X27d07306004727d43b4538f30c138461bca0a3f"/>
    <w:p>
      <w:pPr>
        <w:pStyle w:val="Heading2"/>
      </w:pPr>
      <w:r>
        <w:t xml:space="preserve">Conclusion: Why Kyoto Matters for Japan's Legal Future</w:t>
      </w:r>
    </w:p>
    <w:p>
      <w:pPr>
        <w:pStyle w:val="FirstParagraph"/>
      </w:pPr>
      <w:r>
        <w:t xml:space="preserve">The journey of the</w:t>
      </w:r>
      <w:r>
        <w:t xml:space="preserve"> </w:t>
      </w:r>
      <w:r>
        <w:rPr>
          <w:iCs/>
          <w:i/>
        </w:rPr>
        <w:t xml:space="preserve">Lawyer</w:t>
      </w:r>
      <w:r>
        <w:t xml:space="preserve"> </w:t>
      </w:r>
      <w:r>
        <w:t xml:space="preserve">in Japan Kyoto transcends local practice—it reflects the nation's struggle to modernize without erasing its soul. As this</w:t>
      </w:r>
      <w:r>
        <w:t xml:space="preserve"> </w:t>
      </w:r>
      <w:r>
        <w:rPr>
          <w:bCs/>
          <w:b/>
        </w:rPr>
        <w:t xml:space="preserve">Thesis Proposal</w:t>
      </w:r>
      <w:r>
        <w:t xml:space="preserve"> </w:t>
      </w:r>
      <w:r>
        <w:t xml:space="preserve">demonstrates, Kyoto is not merely a location but a living laboratory for how legal systems engage with cultural continuity. By centering the experiences of lawyers operating in this unique environment, we move beyond abstract policy debates to reveal how justice is actually delivered in one of Japan's most symbolic cities. The findings will inform not only Kyoto's legal community but also policymakers grappling with Japan's broader challenge: harmonizing ancient traditions with 21st-century governance. In an era where globalized law risks homogenizing cultural nuance, this research asserts that the</w:t>
      </w:r>
      <w:r>
        <w:t xml:space="preserve"> </w:t>
      </w:r>
      <w:r>
        <w:rPr>
          <w:iCs/>
          <w:i/>
        </w:rPr>
        <w:t xml:space="preserve">Lawyer</w:t>
      </w:r>
      <w:r>
        <w:t xml:space="preserve"> </w:t>
      </w:r>
      <w:r>
        <w:t xml:space="preserve">in Japan Kyoto stands as a vital guardian of both legal integrity and local identity.</w:t>
      </w:r>
    </w:p>
    <w:p>
      <w:pPr>
        <w:pStyle w:val="BodyText"/>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Japan Kyoto</dc:title>
  <dc:creator/>
  <dc:language>en</dc:language>
  <cp:keywords/>
  <dcterms:created xsi:type="dcterms:W3CDTF">2026-07-23T07:16:48Z</dcterms:created>
  <dcterms:modified xsi:type="dcterms:W3CDTF">2026-07-23T07:16:48Z</dcterms:modified>
</cp:coreProperties>
</file>

<file path=docProps/custom.xml><?xml version="1.0" encoding="utf-8"?>
<Properties xmlns="http://schemas.openxmlformats.org/officeDocument/2006/custom-properties" xmlns:vt="http://schemas.openxmlformats.org/officeDocument/2006/docPropsVTypes"/>
</file>